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563D05" w14:textId="026A0684" w:rsidR="0068390E" w:rsidRPr="00F36CB2" w:rsidRDefault="007B1DCC" w:rsidP="0068390E">
      <w:pPr>
        <w:pStyle w:val="Header"/>
        <w:tabs>
          <w:tab w:val="center" w:pos="4536"/>
          <w:tab w:val="right" w:pos="9356"/>
          <w:tab w:val="right" w:pos="9781"/>
        </w:tabs>
        <w:ind w:right="-58"/>
        <w:rPr>
          <w:rFonts w:cs="Arial"/>
          <w:bCs/>
          <w:sz w:val="24"/>
          <w:szCs w:val="24"/>
          <w:lang w:val="en-US" w:eastAsia="zh-TW"/>
        </w:rPr>
      </w:pPr>
      <w:bookmarkStart w:id="0" w:name="historyclause"/>
      <w:bookmarkStart w:id="1" w:name="_Toc383764588"/>
      <w:r w:rsidRPr="00F36CB2">
        <w:rPr>
          <w:rFonts w:cs="Arial"/>
          <w:bCs/>
          <w:sz w:val="24"/>
        </w:rPr>
        <w:t xml:space="preserve">3GPP TSG RAN WG1 Meeting </w:t>
      </w:r>
      <w:r w:rsidR="0068390E" w:rsidRPr="00F36CB2">
        <w:rPr>
          <w:rFonts w:cs="Arial"/>
          <w:bCs/>
          <w:sz w:val="24"/>
        </w:rPr>
        <w:t>#</w:t>
      </w:r>
      <w:r w:rsidR="002973ED" w:rsidRPr="00F36CB2">
        <w:rPr>
          <w:rFonts w:cs="Arial"/>
          <w:bCs/>
          <w:sz w:val="24"/>
        </w:rPr>
        <w:t>10</w:t>
      </w:r>
      <w:r w:rsidR="00421865">
        <w:rPr>
          <w:rFonts w:cs="Arial"/>
          <w:bCs/>
          <w:sz w:val="24"/>
        </w:rPr>
        <w:t>6</w:t>
      </w:r>
      <w:r w:rsidR="003F75C1">
        <w:rPr>
          <w:rFonts w:cs="Arial"/>
          <w:bCs/>
          <w:sz w:val="24"/>
        </w:rPr>
        <w:t>bis</w:t>
      </w:r>
      <w:r w:rsidR="0068390E" w:rsidRPr="00F36CB2">
        <w:rPr>
          <w:rFonts w:cs="Arial"/>
          <w:bCs/>
          <w:sz w:val="24"/>
        </w:rPr>
        <w:t xml:space="preserve">-e </w:t>
      </w:r>
      <w:r w:rsidR="0068390E" w:rsidRPr="00F36CB2">
        <w:rPr>
          <w:rFonts w:cs="Arial"/>
          <w:bCs/>
          <w:sz w:val="24"/>
          <w:szCs w:val="24"/>
          <w:lang w:val="en-US" w:eastAsia="zh-TW"/>
        </w:rPr>
        <w:t xml:space="preserve"> </w:t>
      </w:r>
      <w:r w:rsidR="0068390E" w:rsidRPr="00F36CB2">
        <w:rPr>
          <w:rFonts w:cs="Arial"/>
          <w:bCs/>
          <w:sz w:val="24"/>
          <w:szCs w:val="24"/>
          <w:lang w:val="en-US" w:eastAsia="zh-TW"/>
        </w:rPr>
        <w:tab/>
      </w:r>
      <w:r w:rsidR="00A501F8" w:rsidRPr="00A501F8">
        <w:rPr>
          <w:rFonts w:eastAsia="MS Mincho" w:cs="Arial"/>
          <w:bCs/>
          <w:sz w:val="24"/>
          <w:szCs w:val="24"/>
          <w:lang w:val="en-US"/>
        </w:rPr>
        <w:t>R1-2109573</w:t>
      </w:r>
    </w:p>
    <w:p w14:paraId="035C15B1" w14:textId="0FF72583" w:rsidR="006517D0" w:rsidRPr="001E46AC" w:rsidRDefault="0068390E" w:rsidP="0068390E">
      <w:pPr>
        <w:pStyle w:val="Header"/>
        <w:tabs>
          <w:tab w:val="center" w:pos="4536"/>
          <w:tab w:val="right" w:pos="8280"/>
          <w:tab w:val="right" w:pos="9781"/>
        </w:tabs>
        <w:spacing w:after="240"/>
        <w:ind w:right="-58"/>
        <w:rPr>
          <w:rFonts w:cs="Arial"/>
          <w:bCs/>
          <w:sz w:val="24"/>
          <w:szCs w:val="28"/>
          <w:lang w:eastAsia="zh-TW"/>
        </w:rPr>
      </w:pPr>
      <w:r w:rsidRPr="00F36CB2">
        <w:rPr>
          <w:rFonts w:cs="Arial"/>
          <w:bCs/>
          <w:sz w:val="24"/>
          <w:szCs w:val="28"/>
          <w:lang w:eastAsia="zh-TW"/>
        </w:rPr>
        <w:t>e-Meeting,</w:t>
      </w:r>
      <w:r w:rsidRPr="00F36CB2">
        <w:rPr>
          <w:sz w:val="16"/>
        </w:rPr>
        <w:t xml:space="preserve"> </w:t>
      </w:r>
      <w:r w:rsidR="00A501F8">
        <w:rPr>
          <w:rFonts w:cs="Arial"/>
          <w:bCs/>
          <w:sz w:val="24"/>
          <w:szCs w:val="28"/>
          <w:lang w:eastAsia="zh-TW"/>
        </w:rPr>
        <w:t>October</w:t>
      </w:r>
      <w:r w:rsidR="00B73A70">
        <w:rPr>
          <w:rFonts w:cs="Arial"/>
          <w:bCs/>
          <w:sz w:val="24"/>
          <w:szCs w:val="28"/>
          <w:lang w:eastAsia="zh-TW"/>
        </w:rPr>
        <w:t xml:space="preserve"> </w:t>
      </w:r>
      <w:r w:rsidR="00A501F8">
        <w:rPr>
          <w:rFonts w:cs="Arial"/>
          <w:bCs/>
          <w:sz w:val="24"/>
          <w:szCs w:val="28"/>
          <w:lang w:eastAsia="zh-TW"/>
        </w:rPr>
        <w:t>11</w:t>
      </w:r>
      <w:r w:rsidRPr="00F36CB2">
        <w:rPr>
          <w:rFonts w:cs="Arial"/>
          <w:bCs/>
          <w:sz w:val="24"/>
          <w:szCs w:val="28"/>
          <w:vertAlign w:val="superscript"/>
          <w:lang w:eastAsia="zh-TW"/>
        </w:rPr>
        <w:t>th</w:t>
      </w:r>
      <w:r w:rsidRPr="00F36CB2">
        <w:rPr>
          <w:rFonts w:cs="Arial"/>
          <w:bCs/>
          <w:sz w:val="24"/>
          <w:szCs w:val="28"/>
          <w:lang w:eastAsia="zh-TW"/>
        </w:rPr>
        <w:t xml:space="preserve"> –</w:t>
      </w:r>
      <w:r w:rsidR="00A501F8">
        <w:rPr>
          <w:rFonts w:cs="Arial"/>
          <w:bCs/>
          <w:sz w:val="24"/>
          <w:szCs w:val="28"/>
          <w:lang w:eastAsia="zh-TW"/>
        </w:rPr>
        <w:t xml:space="preserve"> 19</w:t>
      </w:r>
      <w:r w:rsidR="00C4727B" w:rsidRPr="00F36CB2">
        <w:rPr>
          <w:rFonts w:cs="Arial"/>
          <w:bCs/>
          <w:sz w:val="24"/>
          <w:szCs w:val="28"/>
          <w:vertAlign w:val="superscript"/>
          <w:lang w:eastAsia="zh-TW"/>
        </w:rPr>
        <w:t>th</w:t>
      </w:r>
      <w:r w:rsidR="00B73A70">
        <w:rPr>
          <w:rFonts w:cs="Arial"/>
          <w:bCs/>
          <w:sz w:val="24"/>
          <w:szCs w:val="28"/>
          <w:lang w:eastAsia="zh-TW"/>
        </w:rPr>
        <w:t>, 2021</w:t>
      </w:r>
      <w:r w:rsidR="00297FB4" w:rsidRPr="001E46AC">
        <w:rPr>
          <w:rFonts w:cs="Arial"/>
          <w:bCs/>
          <w:sz w:val="24"/>
        </w:rPr>
        <w:t xml:space="preserve"> </w:t>
      </w:r>
    </w:p>
    <w:p w14:paraId="7EB8C7D1" w14:textId="6567F39D" w:rsidR="006517D0" w:rsidRPr="002824E8" w:rsidRDefault="006517D0" w:rsidP="006517D0">
      <w:pPr>
        <w:pStyle w:val="Header"/>
        <w:tabs>
          <w:tab w:val="center" w:pos="4536"/>
          <w:tab w:val="right" w:pos="8280"/>
          <w:tab w:val="right" w:pos="9781"/>
        </w:tabs>
        <w:ind w:right="-58"/>
        <w:rPr>
          <w:rFonts w:cs="Arial"/>
          <w:bCs/>
          <w:sz w:val="24"/>
          <w:szCs w:val="24"/>
          <w:lang w:val="en-US" w:eastAsia="zh-TW"/>
        </w:rPr>
      </w:pPr>
      <w:r w:rsidRPr="002824E8">
        <w:rPr>
          <w:rFonts w:eastAsia="MS Mincho" w:cs="Arial"/>
          <w:bCs/>
          <w:sz w:val="24"/>
          <w:szCs w:val="24"/>
          <w:lang w:val="en-US"/>
        </w:rPr>
        <w:t>Agenda Item:</w:t>
      </w:r>
      <w:r w:rsidRPr="002824E8">
        <w:rPr>
          <w:rFonts w:cs="Arial"/>
          <w:bCs/>
          <w:sz w:val="24"/>
          <w:szCs w:val="24"/>
          <w:lang w:val="en-US" w:eastAsia="zh-TW"/>
        </w:rPr>
        <w:t xml:space="preserve"> </w:t>
      </w:r>
      <w:r w:rsidR="00CD5028">
        <w:rPr>
          <w:rFonts w:cs="Arial"/>
          <w:bCs/>
          <w:sz w:val="24"/>
          <w:szCs w:val="24"/>
          <w:lang w:val="en-US" w:eastAsia="zh-TW"/>
        </w:rPr>
        <w:t>8.6</w:t>
      </w:r>
      <w:r w:rsidR="00306B1D" w:rsidRPr="002824E8">
        <w:rPr>
          <w:rFonts w:cs="Arial"/>
          <w:bCs/>
          <w:sz w:val="24"/>
          <w:szCs w:val="24"/>
          <w:lang w:val="en-US" w:eastAsia="zh-TW"/>
        </w:rPr>
        <w:t>.1</w:t>
      </w:r>
      <w:r w:rsidR="00136A4A">
        <w:rPr>
          <w:rFonts w:cs="Arial"/>
          <w:bCs/>
          <w:sz w:val="24"/>
          <w:szCs w:val="24"/>
          <w:lang w:val="en-US" w:eastAsia="zh-TW"/>
        </w:rPr>
        <w:t>.1</w:t>
      </w:r>
    </w:p>
    <w:p w14:paraId="11D696B0" w14:textId="77777777" w:rsidR="006517D0" w:rsidRPr="00540FA5" w:rsidRDefault="006517D0" w:rsidP="006517D0">
      <w:pPr>
        <w:pStyle w:val="Header"/>
        <w:tabs>
          <w:tab w:val="center" w:pos="4536"/>
          <w:tab w:val="right" w:pos="8280"/>
          <w:tab w:val="right" w:pos="9781"/>
        </w:tabs>
        <w:ind w:right="-58"/>
        <w:rPr>
          <w:rFonts w:eastAsia="MS Mincho" w:cs="Arial"/>
          <w:bCs/>
          <w:sz w:val="24"/>
          <w:szCs w:val="24"/>
          <w:lang w:val="en-US"/>
        </w:rPr>
      </w:pPr>
      <w:r w:rsidRPr="002824E8">
        <w:rPr>
          <w:rFonts w:eastAsia="MS Mincho" w:cs="Arial"/>
          <w:bCs/>
          <w:sz w:val="24"/>
          <w:szCs w:val="24"/>
          <w:lang w:val="en-US"/>
        </w:rPr>
        <w:t>Source:</w:t>
      </w:r>
      <w:r w:rsidRPr="002824E8">
        <w:rPr>
          <w:rFonts w:cs="Arial"/>
          <w:bCs/>
          <w:sz w:val="24"/>
          <w:szCs w:val="24"/>
          <w:lang w:val="en-US" w:eastAsia="zh-TW"/>
        </w:rPr>
        <w:t xml:space="preserve"> </w:t>
      </w:r>
      <w:r w:rsidRPr="00540FA5">
        <w:rPr>
          <w:rFonts w:eastAsia="MS Mincho" w:cs="Arial"/>
          <w:bCs/>
          <w:sz w:val="24"/>
          <w:szCs w:val="24"/>
          <w:lang w:val="en-US"/>
        </w:rPr>
        <w:t>MediaTek Inc.</w:t>
      </w:r>
    </w:p>
    <w:p w14:paraId="705F97DB" w14:textId="5F7D592C" w:rsidR="006517D0" w:rsidRPr="00540FA5" w:rsidRDefault="006517D0" w:rsidP="006517D0">
      <w:pPr>
        <w:pStyle w:val="Header"/>
        <w:tabs>
          <w:tab w:val="center" w:pos="4536"/>
          <w:tab w:val="right" w:pos="8280"/>
          <w:tab w:val="right" w:pos="9781"/>
        </w:tabs>
        <w:ind w:left="770" w:right="-58" w:hanging="770"/>
        <w:rPr>
          <w:rFonts w:cs="Arial"/>
          <w:bCs/>
          <w:sz w:val="24"/>
          <w:szCs w:val="24"/>
          <w:lang w:val="en-US" w:eastAsia="zh-TW"/>
        </w:rPr>
      </w:pPr>
      <w:r w:rsidRPr="00540FA5">
        <w:rPr>
          <w:rFonts w:eastAsia="MS Mincho" w:cs="Arial"/>
          <w:bCs/>
          <w:sz w:val="24"/>
          <w:szCs w:val="24"/>
          <w:lang w:val="en-US"/>
        </w:rPr>
        <w:t>Title</w:t>
      </w:r>
      <w:r w:rsidRPr="00491305">
        <w:rPr>
          <w:rFonts w:eastAsia="MS Mincho" w:cs="Arial"/>
          <w:bCs/>
          <w:sz w:val="24"/>
          <w:szCs w:val="24"/>
          <w:lang w:val="en-US"/>
        </w:rPr>
        <w:t>:</w:t>
      </w:r>
      <w:r w:rsidRPr="00491305">
        <w:rPr>
          <w:rFonts w:cs="Arial"/>
          <w:bCs/>
          <w:sz w:val="24"/>
          <w:szCs w:val="24"/>
          <w:lang w:val="en-US" w:eastAsia="zh-TW"/>
        </w:rPr>
        <w:t xml:space="preserve"> </w:t>
      </w:r>
      <w:r w:rsidR="00517614" w:rsidRPr="00491305">
        <w:rPr>
          <w:rFonts w:eastAsia="MS Mincho" w:cs="Arial"/>
          <w:bCs/>
          <w:sz w:val="24"/>
          <w:szCs w:val="24"/>
          <w:lang w:val="en-US"/>
        </w:rPr>
        <w:t xml:space="preserve">On </w:t>
      </w:r>
      <w:r w:rsidR="004B1E78" w:rsidRPr="00491305">
        <w:rPr>
          <w:rFonts w:eastAsia="MS Mincho" w:cs="Arial"/>
          <w:bCs/>
          <w:sz w:val="24"/>
          <w:szCs w:val="24"/>
          <w:lang w:val="en-US"/>
        </w:rPr>
        <w:t xml:space="preserve">reduced bandwidth aspects </w:t>
      </w:r>
      <w:r w:rsidR="006176A4">
        <w:rPr>
          <w:rFonts w:eastAsia="MS Mincho" w:cs="Arial"/>
          <w:bCs/>
          <w:sz w:val="24"/>
          <w:szCs w:val="24"/>
          <w:lang w:val="en-US"/>
        </w:rPr>
        <w:t>of</w:t>
      </w:r>
      <w:r w:rsidR="00517614" w:rsidRPr="00491305">
        <w:rPr>
          <w:rFonts w:eastAsia="MS Mincho" w:cs="Arial"/>
          <w:bCs/>
          <w:sz w:val="24"/>
          <w:szCs w:val="24"/>
          <w:lang w:val="en-US"/>
        </w:rPr>
        <w:t xml:space="preserve"> NR RedCap UEs</w:t>
      </w:r>
    </w:p>
    <w:p w14:paraId="1E51960F" w14:textId="77777777" w:rsidR="006517D0" w:rsidRPr="002824E8" w:rsidRDefault="006517D0" w:rsidP="006517D0">
      <w:pPr>
        <w:pStyle w:val="Header"/>
        <w:tabs>
          <w:tab w:val="center" w:pos="4536"/>
          <w:tab w:val="right" w:pos="8280"/>
          <w:tab w:val="right" w:pos="9781"/>
        </w:tabs>
        <w:spacing w:after="120"/>
        <w:ind w:right="-58"/>
        <w:rPr>
          <w:rFonts w:cs="Arial"/>
          <w:bCs/>
          <w:sz w:val="24"/>
          <w:szCs w:val="24"/>
          <w:lang w:val="en-US" w:eastAsia="zh-TW"/>
        </w:rPr>
      </w:pPr>
      <w:r w:rsidRPr="00540FA5">
        <w:rPr>
          <w:rFonts w:eastAsia="MS Mincho" w:cs="Arial"/>
          <w:bCs/>
          <w:sz w:val="24"/>
          <w:szCs w:val="24"/>
          <w:lang w:val="en-US"/>
        </w:rPr>
        <w:t>Document for:</w:t>
      </w:r>
      <w:r w:rsidRPr="00540FA5">
        <w:rPr>
          <w:rFonts w:cs="Arial"/>
          <w:bCs/>
          <w:sz w:val="24"/>
          <w:szCs w:val="24"/>
          <w:lang w:val="en-US" w:eastAsia="zh-TW"/>
        </w:rPr>
        <w:t xml:space="preserve"> </w:t>
      </w:r>
      <w:r w:rsidR="00791352" w:rsidRPr="00540FA5">
        <w:rPr>
          <w:rFonts w:eastAsia="MS Mincho" w:cs="Arial"/>
          <w:bCs/>
          <w:sz w:val="24"/>
          <w:szCs w:val="24"/>
          <w:lang w:val="en-US"/>
        </w:rPr>
        <w:t>Discussion</w:t>
      </w:r>
      <w:r w:rsidR="00297FB4" w:rsidRPr="00540FA5">
        <w:rPr>
          <w:rFonts w:eastAsia="MS Mincho" w:cs="Arial"/>
          <w:bCs/>
          <w:sz w:val="24"/>
          <w:szCs w:val="24"/>
          <w:lang w:val="en-US"/>
        </w:rPr>
        <w:t xml:space="preserve"> and Decision</w:t>
      </w:r>
    </w:p>
    <w:bookmarkEnd w:id="0"/>
    <w:bookmarkEnd w:id="1"/>
    <w:p w14:paraId="3AF68DB3" w14:textId="77777777" w:rsidR="002D44AF" w:rsidRPr="00401394" w:rsidRDefault="002D44AF" w:rsidP="002D44AF">
      <w:pPr>
        <w:pStyle w:val="Heading1"/>
        <w:rPr>
          <w:lang w:eastAsia="zh-TW"/>
        </w:rPr>
      </w:pPr>
      <w:r w:rsidRPr="00401394">
        <w:rPr>
          <w:rFonts w:hint="eastAsia"/>
          <w:lang w:eastAsia="zh-TW"/>
        </w:rPr>
        <w:t>Introduction</w:t>
      </w:r>
    </w:p>
    <w:p w14:paraId="04722B36" w14:textId="7A15836C" w:rsidR="002F0D68" w:rsidRPr="00B156A4" w:rsidRDefault="006040EA" w:rsidP="00E8039C">
      <w:pPr>
        <w:jc w:val="both"/>
        <w:rPr>
          <w:rFonts w:eastAsia="SimSun"/>
          <w:sz w:val="20"/>
          <w:szCs w:val="20"/>
          <w:lang w:eastAsia="zh-CN"/>
        </w:rPr>
      </w:pPr>
      <w:r w:rsidRPr="00B156A4">
        <w:rPr>
          <w:rFonts w:eastAsia="SimSun"/>
          <w:sz w:val="20"/>
          <w:szCs w:val="20"/>
          <w:lang w:eastAsia="zh-CN"/>
        </w:rPr>
        <w:t xml:space="preserve">The Rel-17 study item on </w:t>
      </w:r>
      <w:r w:rsidR="003E28D2" w:rsidRPr="00B156A4">
        <w:rPr>
          <w:rFonts w:eastAsia="SimSun"/>
          <w:sz w:val="20"/>
          <w:szCs w:val="20"/>
          <w:lang w:eastAsia="zh-CN"/>
        </w:rPr>
        <w:t xml:space="preserve">Reduced Capability NR devices </w:t>
      </w:r>
      <w:r w:rsidR="009376D9" w:rsidRPr="00B156A4">
        <w:rPr>
          <w:sz w:val="20"/>
          <w:szCs w:val="20"/>
        </w:rPr>
        <w:t xml:space="preserve">was </w:t>
      </w:r>
      <w:r w:rsidRPr="00B156A4">
        <w:rPr>
          <w:rFonts w:eastAsia="SimSun"/>
          <w:sz w:val="20"/>
          <w:szCs w:val="20"/>
          <w:lang w:eastAsia="zh-CN"/>
        </w:rPr>
        <w:t>approved</w:t>
      </w:r>
      <w:r w:rsidR="009376D9" w:rsidRPr="00B156A4">
        <w:rPr>
          <w:rFonts w:eastAsia="SimSun"/>
          <w:sz w:val="20"/>
          <w:szCs w:val="20"/>
          <w:lang w:eastAsia="zh-CN"/>
        </w:rPr>
        <w:t xml:space="preserve"> during the RAN plenary meeting #86 </w:t>
      </w:r>
      <w:r w:rsidR="009376D9" w:rsidRPr="00B156A4">
        <w:rPr>
          <w:rFonts w:eastAsia="SimSun"/>
          <w:sz w:val="20"/>
          <w:szCs w:val="20"/>
          <w:lang w:eastAsia="zh-CN"/>
        </w:rPr>
        <w:fldChar w:fldCharType="begin"/>
      </w:r>
      <w:r w:rsidR="009376D9" w:rsidRPr="00B156A4">
        <w:rPr>
          <w:rFonts w:eastAsia="SimSun"/>
          <w:sz w:val="20"/>
          <w:szCs w:val="20"/>
          <w:lang w:eastAsia="zh-CN"/>
        </w:rPr>
        <w:instrText xml:space="preserve"> REF _Ref40432453 \n \h </w:instrText>
      </w:r>
      <w:r w:rsidR="00B156A4">
        <w:rPr>
          <w:rFonts w:eastAsia="SimSun"/>
          <w:sz w:val="20"/>
          <w:szCs w:val="20"/>
          <w:lang w:eastAsia="zh-CN"/>
        </w:rPr>
        <w:instrText xml:space="preserve"> \* MERGEFORMAT </w:instrText>
      </w:r>
      <w:r w:rsidR="009376D9" w:rsidRPr="00B156A4">
        <w:rPr>
          <w:rFonts w:eastAsia="SimSun"/>
          <w:sz w:val="20"/>
          <w:szCs w:val="20"/>
          <w:lang w:eastAsia="zh-CN"/>
        </w:rPr>
      </w:r>
      <w:r w:rsidR="009376D9" w:rsidRPr="00B156A4">
        <w:rPr>
          <w:rFonts w:eastAsia="SimSun"/>
          <w:sz w:val="20"/>
          <w:szCs w:val="20"/>
          <w:lang w:eastAsia="zh-CN"/>
        </w:rPr>
        <w:fldChar w:fldCharType="separate"/>
      </w:r>
      <w:r w:rsidR="00D3171D" w:rsidRPr="00B156A4">
        <w:rPr>
          <w:rFonts w:eastAsia="SimSun"/>
          <w:sz w:val="20"/>
          <w:szCs w:val="20"/>
          <w:lang w:eastAsia="zh-CN"/>
        </w:rPr>
        <w:t>[1]</w:t>
      </w:r>
      <w:r w:rsidR="009376D9" w:rsidRPr="00B156A4">
        <w:rPr>
          <w:rFonts w:eastAsia="SimSun"/>
          <w:sz w:val="20"/>
          <w:szCs w:val="20"/>
          <w:lang w:eastAsia="zh-CN"/>
        </w:rPr>
        <w:fldChar w:fldCharType="end"/>
      </w:r>
      <w:r w:rsidR="003E28D2" w:rsidRPr="00B156A4">
        <w:rPr>
          <w:rFonts w:eastAsia="SimSun"/>
          <w:sz w:val="20"/>
          <w:szCs w:val="20"/>
          <w:lang w:eastAsia="zh-CN"/>
        </w:rPr>
        <w:t>.</w:t>
      </w:r>
      <w:r w:rsidR="009376D9" w:rsidRPr="00B156A4">
        <w:rPr>
          <w:rFonts w:eastAsia="SimSun"/>
          <w:sz w:val="20"/>
          <w:szCs w:val="20"/>
          <w:lang w:eastAsia="zh-CN"/>
        </w:rPr>
        <w:t xml:space="preserve"> The</w:t>
      </w:r>
      <w:r w:rsidR="00F2702D" w:rsidRPr="00B156A4">
        <w:rPr>
          <w:rFonts w:eastAsia="SimSun"/>
          <w:sz w:val="20"/>
          <w:szCs w:val="20"/>
          <w:lang w:eastAsia="zh-CN"/>
        </w:rPr>
        <w:t xml:space="preserve"> </w:t>
      </w:r>
      <w:r w:rsidR="00734217">
        <w:rPr>
          <w:rFonts w:eastAsia="SimSun"/>
          <w:sz w:val="20"/>
          <w:szCs w:val="20"/>
          <w:lang w:eastAsia="zh-CN"/>
        </w:rPr>
        <w:t>latest updated of the WID was agreed</w:t>
      </w:r>
      <w:r w:rsidR="00F2702D" w:rsidRPr="00B156A4">
        <w:rPr>
          <w:rFonts w:eastAsia="SimSun"/>
          <w:sz w:val="20"/>
          <w:szCs w:val="20"/>
          <w:lang w:eastAsia="zh-CN"/>
        </w:rPr>
        <w:t xml:space="preserve"> in </w:t>
      </w:r>
      <w:r w:rsidR="009376D9" w:rsidRPr="00B156A4">
        <w:rPr>
          <w:rFonts w:eastAsia="SimSun"/>
          <w:sz w:val="20"/>
          <w:szCs w:val="20"/>
          <w:lang w:eastAsia="zh-CN"/>
        </w:rPr>
        <w:t>RAN plenary meeting #</w:t>
      </w:r>
      <w:r w:rsidR="00734217">
        <w:rPr>
          <w:rFonts w:eastAsia="SimSun"/>
          <w:sz w:val="20"/>
          <w:szCs w:val="20"/>
          <w:lang w:eastAsia="zh-CN"/>
        </w:rPr>
        <w:t>92</w:t>
      </w:r>
      <w:r w:rsidR="009376D9" w:rsidRPr="00B156A4">
        <w:rPr>
          <w:rFonts w:eastAsia="SimSun"/>
          <w:sz w:val="20"/>
          <w:szCs w:val="20"/>
          <w:lang w:eastAsia="zh-CN"/>
        </w:rPr>
        <w:t xml:space="preserve">e </w:t>
      </w:r>
      <w:r w:rsidR="009376D9" w:rsidRPr="00B156A4">
        <w:rPr>
          <w:rFonts w:eastAsia="SimSun"/>
          <w:sz w:val="20"/>
          <w:szCs w:val="20"/>
          <w:lang w:eastAsia="zh-CN"/>
        </w:rPr>
        <w:fldChar w:fldCharType="begin"/>
      </w:r>
      <w:r w:rsidR="009376D9" w:rsidRPr="00B156A4">
        <w:rPr>
          <w:rFonts w:eastAsia="SimSun"/>
          <w:sz w:val="20"/>
          <w:szCs w:val="20"/>
          <w:lang w:eastAsia="zh-CN"/>
        </w:rPr>
        <w:instrText xml:space="preserve"> REF _Ref46136565 \n \h </w:instrText>
      </w:r>
      <w:r w:rsidR="00B156A4">
        <w:rPr>
          <w:rFonts w:eastAsia="SimSun"/>
          <w:sz w:val="20"/>
          <w:szCs w:val="20"/>
          <w:lang w:eastAsia="zh-CN"/>
        </w:rPr>
        <w:instrText xml:space="preserve"> \* MERGEFORMAT </w:instrText>
      </w:r>
      <w:r w:rsidR="009376D9" w:rsidRPr="00B156A4">
        <w:rPr>
          <w:rFonts w:eastAsia="SimSun"/>
          <w:sz w:val="20"/>
          <w:szCs w:val="20"/>
          <w:lang w:eastAsia="zh-CN"/>
        </w:rPr>
      </w:r>
      <w:r w:rsidR="009376D9" w:rsidRPr="00B156A4">
        <w:rPr>
          <w:rFonts w:eastAsia="SimSun"/>
          <w:sz w:val="20"/>
          <w:szCs w:val="20"/>
          <w:lang w:eastAsia="zh-CN"/>
        </w:rPr>
        <w:fldChar w:fldCharType="separate"/>
      </w:r>
      <w:r w:rsidR="00D3171D" w:rsidRPr="00B156A4">
        <w:rPr>
          <w:rFonts w:eastAsia="SimSun"/>
          <w:sz w:val="20"/>
          <w:szCs w:val="20"/>
          <w:lang w:eastAsia="zh-CN"/>
        </w:rPr>
        <w:t>[2]</w:t>
      </w:r>
      <w:r w:rsidR="009376D9" w:rsidRPr="00B156A4">
        <w:rPr>
          <w:rFonts w:eastAsia="SimSun"/>
          <w:sz w:val="20"/>
          <w:szCs w:val="20"/>
          <w:lang w:eastAsia="zh-CN"/>
        </w:rPr>
        <w:fldChar w:fldCharType="end"/>
      </w:r>
      <w:r w:rsidR="009376D9" w:rsidRPr="00B156A4">
        <w:rPr>
          <w:rFonts w:eastAsia="SimSun"/>
          <w:sz w:val="20"/>
          <w:szCs w:val="20"/>
          <w:lang w:eastAsia="zh-CN"/>
        </w:rPr>
        <w:t>.</w:t>
      </w:r>
      <w:r w:rsidR="00575096" w:rsidRPr="00B156A4">
        <w:rPr>
          <w:rFonts w:eastAsia="SimSun"/>
          <w:sz w:val="20"/>
          <w:szCs w:val="20"/>
          <w:lang w:eastAsia="zh-CN"/>
        </w:rPr>
        <w:t xml:space="preserve"> </w:t>
      </w:r>
      <w:r w:rsidR="00B156A4">
        <w:rPr>
          <w:rFonts w:eastAsia="SimSun"/>
          <w:sz w:val="20"/>
          <w:szCs w:val="20"/>
          <w:lang w:eastAsia="zh-CN"/>
        </w:rPr>
        <w:t xml:space="preserve">This paper </w:t>
      </w:r>
      <w:r w:rsidR="00DB5CE0">
        <w:rPr>
          <w:rFonts w:eastAsia="SimSun"/>
          <w:sz w:val="20"/>
          <w:szCs w:val="20"/>
          <w:lang w:eastAsia="zh-CN"/>
        </w:rPr>
        <w:t xml:space="preserve">contains </w:t>
      </w:r>
      <w:r w:rsidR="00B156A4">
        <w:rPr>
          <w:rFonts w:eastAsia="SimSun"/>
          <w:sz w:val="20"/>
          <w:szCs w:val="20"/>
          <w:lang w:eastAsia="zh-CN"/>
        </w:rPr>
        <w:t>contribut</w:t>
      </w:r>
      <w:r w:rsidR="00DB5CE0">
        <w:rPr>
          <w:rFonts w:eastAsia="SimSun"/>
          <w:sz w:val="20"/>
          <w:szCs w:val="20"/>
          <w:lang w:eastAsia="zh-CN"/>
        </w:rPr>
        <w:t>ions</w:t>
      </w:r>
      <w:r w:rsidR="00B156A4">
        <w:rPr>
          <w:rFonts w:eastAsia="SimSun"/>
          <w:sz w:val="20"/>
          <w:szCs w:val="20"/>
          <w:lang w:eastAsia="zh-CN"/>
        </w:rPr>
        <w:t xml:space="preserve"> o</w:t>
      </w:r>
      <w:r w:rsidR="00575096" w:rsidRPr="00B156A4">
        <w:rPr>
          <w:rFonts w:eastAsia="SimSun"/>
          <w:sz w:val="20"/>
          <w:szCs w:val="20"/>
          <w:lang w:eastAsia="zh-CN"/>
        </w:rPr>
        <w:t xml:space="preserve">n the aspect of </w:t>
      </w:r>
      <w:r w:rsidR="00B156A4">
        <w:rPr>
          <w:rFonts w:eastAsia="SimSun"/>
          <w:sz w:val="20"/>
          <w:szCs w:val="20"/>
          <w:lang w:eastAsia="zh-CN"/>
        </w:rPr>
        <w:t xml:space="preserve">RedCap UE </w:t>
      </w:r>
      <w:r w:rsidR="00575096" w:rsidRPr="00B156A4">
        <w:rPr>
          <w:rFonts w:eastAsia="SimSun"/>
          <w:sz w:val="20"/>
          <w:szCs w:val="20"/>
          <w:lang w:eastAsia="zh-CN"/>
        </w:rPr>
        <w:t>BWP operation</w:t>
      </w:r>
      <w:r w:rsidR="003E28D2" w:rsidRPr="00B156A4">
        <w:rPr>
          <w:sz w:val="20"/>
          <w:szCs w:val="20"/>
          <w:lang w:eastAsia="zh-TW"/>
        </w:rPr>
        <w:t>.</w:t>
      </w:r>
      <w:r w:rsidR="002F0D68" w:rsidRPr="00B156A4">
        <w:rPr>
          <w:sz w:val="20"/>
          <w:szCs w:val="20"/>
          <w:lang w:eastAsia="zh-TW"/>
        </w:rPr>
        <w:t xml:space="preserve"> </w:t>
      </w:r>
    </w:p>
    <w:p w14:paraId="523A25AD" w14:textId="51B914A0" w:rsidR="00313C5E" w:rsidRDefault="009F464A" w:rsidP="00313C5E">
      <w:pPr>
        <w:pStyle w:val="Heading1"/>
        <w:ind w:left="431" w:hanging="431"/>
      </w:pPr>
      <w:r>
        <w:t>Maximum</w:t>
      </w:r>
      <w:r w:rsidR="00313C5E">
        <w:t xml:space="preserve"> </w:t>
      </w:r>
      <w:r>
        <w:t xml:space="preserve">BWP bandwidth configuration of RedCap UEs </w:t>
      </w:r>
    </w:p>
    <w:tbl>
      <w:tblPr>
        <w:tblStyle w:val="TableGrid"/>
        <w:tblW w:w="0" w:type="auto"/>
        <w:tblLook w:val="04A0" w:firstRow="1" w:lastRow="0" w:firstColumn="1" w:lastColumn="0" w:noHBand="0" w:noVBand="1"/>
      </w:tblPr>
      <w:tblGrid>
        <w:gridCol w:w="9631"/>
      </w:tblGrid>
      <w:tr w:rsidR="00E60D25" w14:paraId="652318C1" w14:textId="77777777" w:rsidTr="00B54D1A">
        <w:tc>
          <w:tcPr>
            <w:tcW w:w="9631" w:type="dxa"/>
          </w:tcPr>
          <w:p w14:paraId="49E2E745" w14:textId="77777777" w:rsidR="00E60D25" w:rsidRDefault="00E60D25" w:rsidP="00B54D1A">
            <w:pPr>
              <w:pStyle w:val="NormalWeb"/>
              <w:spacing w:before="0" w:beforeAutospacing="0" w:after="0" w:afterAutospacing="0"/>
              <w:rPr>
                <w:color w:val="000000"/>
                <w:sz w:val="20"/>
                <w:szCs w:val="20"/>
                <w:highlight w:val="green"/>
                <w:lang w:val="en-GB"/>
              </w:rPr>
            </w:pPr>
            <w:r w:rsidRPr="008B550C">
              <w:rPr>
                <w:b/>
                <w:color w:val="000000"/>
                <w:sz w:val="20"/>
                <w:szCs w:val="20"/>
                <w:lang w:val="en-GB"/>
              </w:rPr>
              <w:t>Decision:</w:t>
            </w:r>
            <w:r w:rsidRPr="008B550C">
              <w:rPr>
                <w:color w:val="000000"/>
                <w:sz w:val="20"/>
                <w:szCs w:val="20"/>
                <w:lang w:val="en-GB"/>
              </w:rPr>
              <w:t xml:space="preserve"> </w:t>
            </w:r>
            <w:r>
              <w:rPr>
                <w:color w:val="000000"/>
                <w:sz w:val="20"/>
                <w:szCs w:val="20"/>
                <w:lang w:val="en-GB"/>
              </w:rPr>
              <w:t xml:space="preserve"> </w:t>
            </w:r>
            <w:r>
              <w:rPr>
                <w:rFonts w:ascii="Times" w:hAnsi="Times" w:cs="Times"/>
                <w:color w:val="000000"/>
                <w:sz w:val="20"/>
                <w:szCs w:val="20"/>
                <w:lang w:val="en-GB"/>
              </w:rPr>
              <w:t>In RAN1#105 no consensus could be reached on the draft LS on RF switching time to RAN4.</w:t>
            </w:r>
          </w:p>
          <w:p w14:paraId="20CF0DBF" w14:textId="77777777" w:rsidR="00E60D25" w:rsidRPr="0035589A" w:rsidRDefault="00E60D25" w:rsidP="00B54D1A">
            <w:pPr>
              <w:pStyle w:val="NormalWeb"/>
              <w:spacing w:before="180" w:beforeAutospacing="0" w:after="0" w:afterAutospacing="0"/>
              <w:rPr>
                <w:color w:val="000000"/>
                <w:sz w:val="20"/>
                <w:szCs w:val="20"/>
                <w:lang w:val="en-GB"/>
              </w:rPr>
            </w:pPr>
            <w:r>
              <w:rPr>
                <w:color w:val="000000"/>
                <w:sz w:val="20"/>
                <w:szCs w:val="20"/>
                <w:highlight w:val="green"/>
                <w:lang w:val="en-GB"/>
              </w:rPr>
              <w:t>Agreement</w:t>
            </w:r>
            <w:r>
              <w:rPr>
                <w:color w:val="000000"/>
                <w:sz w:val="20"/>
                <w:szCs w:val="20"/>
                <w:lang w:val="en-GB"/>
              </w:rPr>
              <w:t xml:space="preserve"> (R1#105): Take the following as an agreement, </w:t>
            </w:r>
            <w:r w:rsidRPr="0035589A">
              <w:rPr>
                <w:color w:val="000000"/>
                <w:sz w:val="20"/>
                <w:szCs w:val="20"/>
                <w:lang w:val="en-GB"/>
              </w:rPr>
              <w:t>revised from the RAN1#104bis-e working assumption:</w:t>
            </w:r>
          </w:p>
          <w:p w14:paraId="424F1D65" w14:textId="77777777" w:rsidR="00E60D25" w:rsidRPr="0035589A" w:rsidRDefault="00E60D25" w:rsidP="008F372D">
            <w:pPr>
              <w:numPr>
                <w:ilvl w:val="0"/>
                <w:numId w:val="3"/>
              </w:numPr>
              <w:textAlignment w:val="center"/>
              <w:rPr>
                <w:rFonts w:ascii="Calibri" w:hAnsi="Calibri"/>
                <w:color w:val="000000"/>
                <w:sz w:val="22"/>
                <w:szCs w:val="22"/>
                <w:lang w:val="en-GB"/>
              </w:rPr>
            </w:pPr>
            <w:r w:rsidRPr="0035589A">
              <w:rPr>
                <w:color w:val="000000"/>
                <w:sz w:val="20"/>
                <w:szCs w:val="20"/>
                <w:lang w:val="en-GB"/>
              </w:rPr>
              <w:t>A RedCap UE cannot be configured with a non-initial (DL or UL) BWP (i.e., a BWP with a non-zero index) wider than the maximum bandwidth of the RedCap UE.</w:t>
            </w:r>
          </w:p>
          <w:p w14:paraId="702790B1" w14:textId="77777777" w:rsidR="00E60D25" w:rsidRPr="007E21AA" w:rsidRDefault="00E60D25" w:rsidP="008F372D">
            <w:pPr>
              <w:numPr>
                <w:ilvl w:val="1"/>
                <w:numId w:val="3"/>
              </w:numPr>
              <w:textAlignment w:val="center"/>
              <w:rPr>
                <w:rFonts w:ascii="Calibri" w:hAnsi="Calibri"/>
                <w:color w:val="000000" w:themeColor="text1"/>
                <w:sz w:val="22"/>
                <w:szCs w:val="22"/>
                <w:lang w:val="en-GB"/>
              </w:rPr>
            </w:pPr>
            <w:r w:rsidRPr="007E21AA">
              <w:rPr>
                <w:color w:val="000000"/>
                <w:sz w:val="20"/>
                <w:szCs w:val="20"/>
                <w:lang w:val="en-GB"/>
              </w:rPr>
              <w:t xml:space="preserve">At least for FR1, FG 6-1 (“Basic BWP operation with restriction” as described in TR 38.822) is used as a starting point for the </w:t>
            </w:r>
            <w:r w:rsidRPr="007E21AA">
              <w:rPr>
                <w:color w:val="000000" w:themeColor="text1"/>
                <w:sz w:val="20"/>
                <w:szCs w:val="20"/>
                <w:u w:val="single"/>
                <w:lang w:val="en-GB"/>
              </w:rPr>
              <w:t>mandatory</w:t>
            </w:r>
            <w:r w:rsidRPr="007E21AA">
              <w:rPr>
                <w:color w:val="000000" w:themeColor="text1"/>
                <w:sz w:val="20"/>
                <w:szCs w:val="20"/>
                <w:lang w:val="en-GB"/>
              </w:rPr>
              <w:t xml:space="preserve"> RedCap UE type capability.</w:t>
            </w:r>
          </w:p>
          <w:p w14:paraId="38E6D0CF" w14:textId="77777777" w:rsidR="00E60D25" w:rsidRPr="002805D8" w:rsidRDefault="00E60D25" w:rsidP="008F372D">
            <w:pPr>
              <w:numPr>
                <w:ilvl w:val="2"/>
                <w:numId w:val="3"/>
              </w:numPr>
              <w:spacing w:after="120"/>
              <w:textAlignment w:val="center"/>
              <w:rPr>
                <w:rFonts w:ascii="Calibri" w:hAnsi="Calibri"/>
                <w:color w:val="000000" w:themeColor="text1"/>
                <w:sz w:val="22"/>
                <w:szCs w:val="22"/>
                <w:lang w:val="en-GB"/>
              </w:rPr>
            </w:pPr>
            <w:r w:rsidRPr="007E21AA">
              <w:rPr>
                <w:color w:val="000000" w:themeColor="text1"/>
                <w:sz w:val="20"/>
                <w:szCs w:val="20"/>
                <w:u w:val="single"/>
                <w:lang w:val="en-GB"/>
              </w:rPr>
              <w:t>This does not preclude support of FG 6-1a (“BWP operation without restriction on BW of BWP(s)” as described in TR 38.822) as a UE capability for RedCap UEs.</w:t>
            </w:r>
          </w:p>
          <w:p w14:paraId="6FDD951E" w14:textId="07F79C3D" w:rsidR="008B1BA2" w:rsidRPr="008B1BA2" w:rsidRDefault="008B1BA2" w:rsidP="008B1BA2">
            <w:pPr>
              <w:pStyle w:val="NormalWeb"/>
              <w:spacing w:before="0" w:beforeAutospacing="0" w:after="180" w:afterAutospacing="0"/>
              <w:rPr>
                <w:color w:val="000000"/>
                <w:sz w:val="20"/>
                <w:szCs w:val="20"/>
              </w:rPr>
            </w:pPr>
            <w:r w:rsidRPr="008B1BA2">
              <w:rPr>
                <w:bCs/>
                <w:color w:val="000000"/>
                <w:sz w:val="20"/>
                <w:szCs w:val="20"/>
                <w:highlight w:val="green"/>
              </w:rPr>
              <w:t>Agreement:</w:t>
            </w:r>
            <w:r w:rsidRPr="008B1BA2">
              <w:rPr>
                <w:bCs/>
                <w:color w:val="000000"/>
                <w:sz w:val="20"/>
                <w:szCs w:val="20"/>
                <w:shd w:val="clear" w:color="auto" w:fill="FFFFFF"/>
              </w:rPr>
              <w:t xml:space="preserve"> </w:t>
            </w:r>
            <w:r>
              <w:rPr>
                <w:color w:val="000000"/>
                <w:sz w:val="20"/>
                <w:szCs w:val="20"/>
                <w:lang w:val="en-GB"/>
              </w:rPr>
              <w:t xml:space="preserve">(R1#106): </w:t>
            </w:r>
            <w:r w:rsidRPr="008B1BA2">
              <w:rPr>
                <w:bCs/>
                <w:color w:val="000000"/>
                <w:sz w:val="20"/>
                <w:szCs w:val="20"/>
                <w:shd w:val="clear" w:color="auto" w:fill="FFFFFF"/>
              </w:rPr>
              <w:t>Replace the RAN1#104bis-e working assumption with the following agreement:</w:t>
            </w:r>
          </w:p>
          <w:p w14:paraId="22AE828B" w14:textId="77777777" w:rsidR="008B1BA2" w:rsidRPr="008B1BA2" w:rsidRDefault="008B1BA2" w:rsidP="008F372D">
            <w:pPr>
              <w:numPr>
                <w:ilvl w:val="0"/>
                <w:numId w:val="3"/>
              </w:numPr>
              <w:textAlignment w:val="center"/>
              <w:rPr>
                <w:rFonts w:ascii="Calibri" w:hAnsi="Calibri"/>
                <w:color w:val="000000"/>
                <w:sz w:val="22"/>
                <w:szCs w:val="22"/>
              </w:rPr>
            </w:pPr>
            <w:r w:rsidRPr="008B1BA2">
              <w:rPr>
                <w:bCs/>
                <w:color w:val="000000"/>
                <w:sz w:val="20"/>
                <w:szCs w:val="20"/>
                <w:shd w:val="clear" w:color="auto" w:fill="FFFFFF"/>
              </w:rPr>
              <w:t>During initial access, the bandwidth of the initial DL BWP for RedCap UEs is not expected to exceed the maximum RedCap UE bandwidth.</w:t>
            </w:r>
          </w:p>
          <w:p w14:paraId="1BD2C32C" w14:textId="77777777" w:rsidR="008B1BA2" w:rsidRPr="008B1BA2" w:rsidRDefault="008B1BA2" w:rsidP="008F372D">
            <w:pPr>
              <w:numPr>
                <w:ilvl w:val="1"/>
                <w:numId w:val="3"/>
              </w:numPr>
              <w:textAlignment w:val="center"/>
              <w:rPr>
                <w:rFonts w:ascii="Calibri" w:hAnsi="Calibri"/>
                <w:color w:val="000000"/>
                <w:sz w:val="22"/>
                <w:szCs w:val="22"/>
              </w:rPr>
            </w:pPr>
            <w:r w:rsidRPr="008B1BA2">
              <w:rPr>
                <w:bCs/>
                <w:color w:val="000000"/>
                <w:sz w:val="20"/>
                <w:szCs w:val="20"/>
                <w:shd w:val="clear" w:color="auto" w:fill="FFFFFF"/>
              </w:rPr>
              <w:t>RedCap UEs and non-RedCap UEs can share the same MIB-configured initial DL BWP (including the bandwidth and location).</w:t>
            </w:r>
          </w:p>
          <w:p w14:paraId="7F963D0E" w14:textId="77777777" w:rsidR="008B1BA2" w:rsidRPr="008B1BA2" w:rsidRDefault="008B1BA2" w:rsidP="008F372D">
            <w:pPr>
              <w:numPr>
                <w:ilvl w:val="1"/>
                <w:numId w:val="3"/>
              </w:numPr>
              <w:textAlignment w:val="center"/>
              <w:rPr>
                <w:rFonts w:ascii="Calibri" w:hAnsi="Calibri"/>
                <w:color w:val="000000"/>
                <w:sz w:val="22"/>
                <w:szCs w:val="22"/>
              </w:rPr>
            </w:pPr>
            <w:r w:rsidRPr="008B1BA2">
              <w:rPr>
                <w:bCs/>
                <w:color w:val="000000"/>
                <w:sz w:val="20"/>
                <w:szCs w:val="20"/>
                <w:shd w:val="clear" w:color="auto" w:fill="FFFFFF"/>
              </w:rPr>
              <w:t>This does not preclude a SIB-configured initial DL BWP for non-RedCap UEs only with a wider bandwidth than the maximum RedCap UE bandwidth.</w:t>
            </w:r>
          </w:p>
          <w:p w14:paraId="41B14CA1" w14:textId="77777777" w:rsidR="008B1BA2" w:rsidRPr="008B1BA2" w:rsidRDefault="008B1BA2" w:rsidP="008F372D">
            <w:pPr>
              <w:numPr>
                <w:ilvl w:val="1"/>
                <w:numId w:val="3"/>
              </w:numPr>
              <w:textAlignment w:val="center"/>
              <w:rPr>
                <w:rFonts w:ascii="Calibri" w:hAnsi="Calibri"/>
                <w:color w:val="000000"/>
                <w:sz w:val="22"/>
                <w:szCs w:val="22"/>
              </w:rPr>
            </w:pPr>
            <w:r w:rsidRPr="008B1BA2">
              <w:rPr>
                <w:bCs/>
                <w:color w:val="000000"/>
                <w:sz w:val="20"/>
                <w:szCs w:val="20"/>
                <w:shd w:val="clear" w:color="auto" w:fill="FFFFFF"/>
              </w:rPr>
              <w:t>This does not preclude separate or additional bandwidth and location for initial DL BWP for RedCap UEs</w:t>
            </w:r>
            <w:r w:rsidRPr="008B1BA2">
              <w:rPr>
                <w:bCs/>
                <w:color w:val="FF0000"/>
                <w:sz w:val="20"/>
                <w:szCs w:val="20"/>
                <w:shd w:val="clear" w:color="auto" w:fill="FFFFFF"/>
              </w:rPr>
              <w:t xml:space="preserve"> </w:t>
            </w:r>
            <w:r w:rsidRPr="008B1BA2">
              <w:rPr>
                <w:bCs/>
                <w:strike/>
                <w:color w:val="FF0000"/>
                <w:sz w:val="20"/>
                <w:szCs w:val="20"/>
                <w:shd w:val="clear" w:color="auto" w:fill="FFFFFF"/>
              </w:rPr>
              <w:t>(FFS)</w:t>
            </w:r>
            <w:r w:rsidRPr="008B1BA2">
              <w:rPr>
                <w:bCs/>
                <w:color w:val="000000"/>
                <w:sz w:val="20"/>
                <w:szCs w:val="20"/>
                <w:shd w:val="clear" w:color="auto" w:fill="FFFFFF"/>
              </w:rPr>
              <w:t>.</w:t>
            </w:r>
          </w:p>
          <w:p w14:paraId="43E90203" w14:textId="77777777" w:rsidR="00E60D25" w:rsidRPr="008B1BA2" w:rsidRDefault="00E60D25" w:rsidP="00B54D1A">
            <w:pPr>
              <w:pStyle w:val="NormalWeb"/>
              <w:spacing w:before="0" w:beforeAutospacing="0" w:after="0" w:afterAutospacing="0"/>
              <w:rPr>
                <w:color w:val="000000"/>
                <w:sz w:val="20"/>
                <w:szCs w:val="20"/>
                <w:lang w:val="en-GB"/>
              </w:rPr>
            </w:pPr>
          </w:p>
          <w:p w14:paraId="15080ECB" w14:textId="77777777" w:rsidR="008B1BA2" w:rsidRPr="008B1BA2" w:rsidRDefault="008B1BA2" w:rsidP="008B1BA2">
            <w:pPr>
              <w:pStyle w:val="NormalWeb"/>
              <w:spacing w:before="0" w:beforeAutospacing="0" w:after="0" w:afterAutospacing="0"/>
              <w:rPr>
                <w:color w:val="000000"/>
                <w:sz w:val="20"/>
                <w:szCs w:val="20"/>
              </w:rPr>
            </w:pPr>
            <w:r w:rsidRPr="008B1BA2">
              <w:rPr>
                <w:color w:val="000000"/>
                <w:sz w:val="20"/>
                <w:szCs w:val="20"/>
                <w:highlight w:val="green"/>
              </w:rPr>
              <w:t>Agreements</w:t>
            </w:r>
            <w:r w:rsidRPr="008B1BA2">
              <w:rPr>
                <w:color w:val="000000"/>
                <w:sz w:val="20"/>
                <w:szCs w:val="20"/>
              </w:rPr>
              <w:t xml:space="preserve"> </w:t>
            </w:r>
            <w:r w:rsidRPr="008B1BA2">
              <w:rPr>
                <w:color w:val="000000"/>
                <w:sz w:val="20"/>
                <w:szCs w:val="20"/>
                <w:lang w:val="en-GB"/>
              </w:rPr>
              <w:t xml:space="preserve">(R1#106): </w:t>
            </w:r>
            <w:r w:rsidRPr="008B1BA2">
              <w:rPr>
                <w:color w:val="000000"/>
                <w:sz w:val="20"/>
                <w:szCs w:val="20"/>
              </w:rPr>
              <w:t xml:space="preserve"> </w:t>
            </w:r>
            <w:r w:rsidRPr="008B1BA2">
              <w:rPr>
                <w:bCs/>
                <w:color w:val="000000"/>
                <w:sz w:val="20"/>
                <w:szCs w:val="20"/>
              </w:rPr>
              <w:t>Confirm the following working assumptions from RAN1#105-e:</w:t>
            </w:r>
          </w:p>
          <w:p w14:paraId="712C3811" w14:textId="77777777" w:rsidR="008B1BA2" w:rsidRPr="008B1BA2" w:rsidRDefault="008B1BA2" w:rsidP="008F372D">
            <w:pPr>
              <w:numPr>
                <w:ilvl w:val="0"/>
                <w:numId w:val="12"/>
              </w:numPr>
              <w:ind w:left="538" w:hanging="357"/>
              <w:textAlignment w:val="center"/>
              <w:rPr>
                <w:rFonts w:ascii="Calibri" w:hAnsi="Calibri"/>
                <w:color w:val="000000"/>
                <w:sz w:val="22"/>
                <w:szCs w:val="22"/>
              </w:rPr>
            </w:pPr>
            <w:r w:rsidRPr="008B1BA2">
              <w:rPr>
                <w:bCs/>
                <w:color w:val="000000"/>
                <w:sz w:val="20"/>
                <w:szCs w:val="20"/>
                <w:shd w:val="clear" w:color="auto" w:fill="FFFFFF"/>
              </w:rPr>
              <w:t>After initial access (i.e., after RRC Setup, RRC Resume, or RRC Reestablishment), for BWP#0 configuration </w:t>
            </w:r>
            <w:r w:rsidRPr="008B1BA2">
              <w:rPr>
                <w:bCs/>
                <w:color w:val="000000"/>
                <w:sz w:val="20"/>
                <w:szCs w:val="20"/>
                <w:u w:val="single"/>
                <w:shd w:val="clear" w:color="auto" w:fill="FFFFFF"/>
              </w:rPr>
              <w:t>option 1</w:t>
            </w:r>
            <w:r w:rsidRPr="008B1BA2">
              <w:rPr>
                <w:bCs/>
                <w:color w:val="000000"/>
                <w:sz w:val="20"/>
                <w:szCs w:val="20"/>
                <w:shd w:val="clear" w:color="auto" w:fill="FFFFFF"/>
              </w:rPr>
              <w:t> (as in 38.331, Appendix B2), a RedCap UE is not expected to operate with an initial DL BWP wider than the maximum RedCap UE bandwidth.</w:t>
            </w:r>
          </w:p>
          <w:p w14:paraId="4A98DB55" w14:textId="28D0CD3C" w:rsidR="00E60D25" w:rsidRPr="008B1BA2" w:rsidRDefault="008B1BA2" w:rsidP="008F372D">
            <w:pPr>
              <w:numPr>
                <w:ilvl w:val="0"/>
                <w:numId w:val="12"/>
              </w:numPr>
              <w:ind w:left="540"/>
              <w:textAlignment w:val="center"/>
              <w:rPr>
                <w:rFonts w:ascii="Calibri" w:hAnsi="Calibri"/>
                <w:color w:val="000000"/>
                <w:sz w:val="22"/>
                <w:szCs w:val="22"/>
              </w:rPr>
            </w:pPr>
            <w:r w:rsidRPr="008B1BA2">
              <w:rPr>
                <w:bCs/>
                <w:color w:val="000000"/>
                <w:sz w:val="20"/>
                <w:szCs w:val="20"/>
                <w:shd w:val="clear" w:color="auto" w:fill="FFFFFF"/>
              </w:rPr>
              <w:t>After initial access (i.e., after RRC Setup, RRC Resume, or RRC Reestablishment), for BWP#0 configuration </w:t>
            </w:r>
            <w:r w:rsidRPr="008B1BA2">
              <w:rPr>
                <w:bCs/>
                <w:color w:val="000000"/>
                <w:sz w:val="20"/>
                <w:szCs w:val="20"/>
                <w:u w:val="single"/>
                <w:shd w:val="clear" w:color="auto" w:fill="FFFFFF"/>
              </w:rPr>
              <w:t>option 2</w:t>
            </w:r>
            <w:r w:rsidRPr="008B1BA2">
              <w:rPr>
                <w:bCs/>
                <w:color w:val="000000"/>
                <w:sz w:val="20"/>
                <w:szCs w:val="20"/>
                <w:shd w:val="clear" w:color="auto" w:fill="FFFFFF"/>
              </w:rPr>
              <w:t> (as in 38.331, Appendix B2), a RedCap UE is not expected to operate with an initial DL BWP wider than the maximum RedCap UE bandwidth.</w:t>
            </w:r>
          </w:p>
        </w:tc>
      </w:tr>
    </w:tbl>
    <w:p w14:paraId="2552B69A" w14:textId="2691C227" w:rsidR="007070FF" w:rsidRDefault="007070FF" w:rsidP="007070FF">
      <w:pPr>
        <w:pStyle w:val="Heading1"/>
        <w:ind w:left="431" w:hanging="431"/>
      </w:pPr>
      <w:r>
        <w:t>Initial downlink BWP operation</w:t>
      </w:r>
      <w:r w:rsidR="002805D8">
        <w:t xml:space="preserve"> of RedCap UEs</w:t>
      </w:r>
    </w:p>
    <w:tbl>
      <w:tblPr>
        <w:tblStyle w:val="TableGrid"/>
        <w:tblW w:w="0" w:type="auto"/>
        <w:tblLook w:val="04A0" w:firstRow="1" w:lastRow="0" w:firstColumn="1" w:lastColumn="0" w:noHBand="0" w:noVBand="1"/>
      </w:tblPr>
      <w:tblGrid>
        <w:gridCol w:w="9631"/>
      </w:tblGrid>
      <w:tr w:rsidR="00DB5CE0" w14:paraId="0CABEC28" w14:textId="77777777" w:rsidTr="00DB5CE0">
        <w:tc>
          <w:tcPr>
            <w:tcW w:w="9631" w:type="dxa"/>
          </w:tcPr>
          <w:p w14:paraId="10B928A6" w14:textId="77777777" w:rsidR="0089472A" w:rsidRDefault="0089472A" w:rsidP="0089472A">
            <w:pPr>
              <w:pStyle w:val="NormalWeb"/>
              <w:spacing w:before="0" w:beforeAutospacing="0" w:after="0" w:afterAutospacing="0"/>
              <w:rPr>
                <w:color w:val="000000"/>
                <w:sz w:val="20"/>
                <w:szCs w:val="20"/>
                <w:lang w:val="en-GB"/>
              </w:rPr>
            </w:pPr>
            <w:r>
              <w:rPr>
                <w:color w:val="000000"/>
                <w:sz w:val="20"/>
                <w:szCs w:val="20"/>
                <w:highlight w:val="green"/>
                <w:lang w:val="en-GB"/>
              </w:rPr>
              <w:t>Agreements</w:t>
            </w:r>
            <w:r>
              <w:rPr>
                <w:rFonts w:ascii="Times" w:hAnsi="Times" w:cs="Times"/>
                <w:b/>
                <w:bCs/>
                <w:color w:val="000000"/>
                <w:sz w:val="20"/>
                <w:szCs w:val="20"/>
                <w:lang w:val="en-GB"/>
              </w:rPr>
              <w:t xml:space="preserve"> </w:t>
            </w:r>
            <w:r w:rsidRPr="009309A3">
              <w:rPr>
                <w:rFonts w:ascii="Times" w:hAnsi="Times" w:cs="Times"/>
                <w:bCs/>
                <w:color w:val="000000"/>
                <w:sz w:val="20"/>
                <w:szCs w:val="20"/>
                <w:lang w:val="en-GB"/>
              </w:rPr>
              <w:t>(R1#104)</w:t>
            </w:r>
            <w:r>
              <w:rPr>
                <w:rFonts w:ascii="Times" w:hAnsi="Times" w:cs="Times"/>
                <w:bCs/>
                <w:color w:val="000000"/>
                <w:sz w:val="20"/>
                <w:szCs w:val="20"/>
                <w:lang w:val="en-GB"/>
              </w:rPr>
              <w:t>:</w:t>
            </w:r>
          </w:p>
          <w:p w14:paraId="2A591C02" w14:textId="77777777" w:rsidR="0089472A" w:rsidRPr="0035589A" w:rsidRDefault="0089472A" w:rsidP="008F372D">
            <w:pPr>
              <w:numPr>
                <w:ilvl w:val="0"/>
                <w:numId w:val="6"/>
              </w:numPr>
              <w:ind w:left="540"/>
              <w:textAlignment w:val="center"/>
              <w:rPr>
                <w:rFonts w:ascii="Calibri" w:hAnsi="Calibri"/>
                <w:color w:val="000000"/>
                <w:sz w:val="22"/>
                <w:szCs w:val="22"/>
                <w:lang w:val="en-GB"/>
              </w:rPr>
            </w:pPr>
            <w:r w:rsidRPr="0035589A">
              <w:rPr>
                <w:color w:val="000000"/>
                <w:sz w:val="20"/>
                <w:szCs w:val="20"/>
                <w:lang w:val="en-GB"/>
              </w:rPr>
              <w:t>Sharing of the same SSB and CORESET#0 between RedCap and non-RedCap UEs is supported when the bandwidth is no wider than the RedCap UE bandwidth</w:t>
            </w:r>
          </w:p>
          <w:p w14:paraId="379438F1" w14:textId="77777777" w:rsidR="0089472A" w:rsidRPr="0089472A" w:rsidRDefault="0089472A" w:rsidP="008F372D">
            <w:pPr>
              <w:numPr>
                <w:ilvl w:val="0"/>
                <w:numId w:val="6"/>
              </w:numPr>
              <w:ind w:left="540"/>
              <w:textAlignment w:val="center"/>
              <w:rPr>
                <w:rFonts w:ascii="Calibri" w:hAnsi="Calibri"/>
                <w:color w:val="000000"/>
                <w:sz w:val="22"/>
                <w:szCs w:val="22"/>
                <w:lang w:val="en-GB"/>
              </w:rPr>
            </w:pPr>
            <w:r w:rsidRPr="0035589A">
              <w:rPr>
                <w:color w:val="000000"/>
                <w:sz w:val="20"/>
                <w:szCs w:val="20"/>
                <w:lang w:val="en-GB"/>
              </w:rPr>
              <w:t>The initial DL BWP (derived based on MIB/SIB) for RedCap UEs can be the same as</w:t>
            </w:r>
            <w:r>
              <w:rPr>
                <w:color w:val="000000"/>
                <w:sz w:val="20"/>
                <w:szCs w:val="20"/>
                <w:lang w:val="en-GB"/>
              </w:rPr>
              <w:t xml:space="preserve"> the initial DL BWP for non-RedCap UEs at least when the initial DL BWP is no wider than the RedCap UE bandwidth.</w:t>
            </w:r>
          </w:p>
          <w:p w14:paraId="4C2E6533" w14:textId="77777777" w:rsidR="00DB5CE0" w:rsidRPr="007070FF" w:rsidRDefault="00DB5CE0" w:rsidP="00DB5CE0">
            <w:pPr>
              <w:textAlignment w:val="center"/>
              <w:rPr>
                <w:rFonts w:ascii="Calibri" w:hAnsi="Calibri"/>
                <w:color w:val="000000"/>
                <w:sz w:val="22"/>
                <w:szCs w:val="22"/>
                <w:lang w:val="en-GB"/>
              </w:rPr>
            </w:pPr>
          </w:p>
          <w:p w14:paraId="2AED2E78" w14:textId="77777777" w:rsidR="00DB5CE0" w:rsidRPr="0035589A" w:rsidRDefault="00DB5CE0" w:rsidP="008F372D">
            <w:pPr>
              <w:numPr>
                <w:ilvl w:val="0"/>
                <w:numId w:val="5"/>
              </w:numPr>
              <w:tabs>
                <w:tab w:val="clear" w:pos="720"/>
                <w:tab w:val="num" w:pos="180"/>
              </w:tabs>
              <w:ind w:left="0"/>
              <w:textAlignment w:val="center"/>
              <w:rPr>
                <w:rFonts w:ascii="Calibri" w:hAnsi="Calibri"/>
                <w:color w:val="000000"/>
                <w:sz w:val="22"/>
                <w:szCs w:val="22"/>
                <w:lang w:val="en-GB"/>
              </w:rPr>
            </w:pPr>
            <w:r>
              <w:rPr>
                <w:color w:val="000000"/>
                <w:sz w:val="20"/>
                <w:szCs w:val="20"/>
                <w:highlight w:val="darkYellow"/>
                <w:lang w:val="en-GB"/>
              </w:rPr>
              <w:t>Working assumption</w:t>
            </w:r>
            <w:r>
              <w:rPr>
                <w:color w:val="000000"/>
                <w:sz w:val="20"/>
                <w:szCs w:val="20"/>
                <w:lang w:val="en-GB"/>
              </w:rPr>
              <w:t xml:space="preserve"> (R1#105): </w:t>
            </w:r>
            <w:r w:rsidRPr="0035589A">
              <w:rPr>
                <w:color w:val="000000"/>
                <w:sz w:val="20"/>
                <w:szCs w:val="20"/>
                <w:lang w:val="en-GB"/>
              </w:rPr>
              <w:t>At least for TDD, an initial DL BWP for RedCap UEs (which is not expected to exceed the maximum RedCap UE bandwidth) can be optionally configured/defined separately from the initial DL BWP for non-RedCap UEs at least after initial access</w:t>
            </w:r>
          </w:p>
          <w:p w14:paraId="681C7C5F" w14:textId="77777777" w:rsidR="00DB5CE0" w:rsidRPr="0035589A" w:rsidRDefault="00DB5CE0" w:rsidP="008F372D">
            <w:pPr>
              <w:numPr>
                <w:ilvl w:val="1"/>
                <w:numId w:val="5"/>
              </w:numPr>
              <w:tabs>
                <w:tab w:val="clear" w:pos="1440"/>
                <w:tab w:val="num" w:pos="900"/>
              </w:tabs>
              <w:ind w:left="540"/>
              <w:textAlignment w:val="center"/>
              <w:rPr>
                <w:rFonts w:ascii="Calibri" w:hAnsi="Calibri"/>
                <w:color w:val="000000"/>
                <w:sz w:val="22"/>
                <w:szCs w:val="22"/>
                <w:lang w:val="en-GB"/>
              </w:rPr>
            </w:pPr>
            <w:r w:rsidRPr="0035589A">
              <w:rPr>
                <w:color w:val="000000"/>
                <w:sz w:val="20"/>
                <w:szCs w:val="20"/>
                <w:lang w:val="en-GB"/>
              </w:rPr>
              <w:t>FFS the details of the configuration/definition</w:t>
            </w:r>
          </w:p>
          <w:p w14:paraId="27DC2CFE" w14:textId="77777777" w:rsidR="00DB5CE0" w:rsidRPr="0035589A" w:rsidRDefault="00DB5CE0" w:rsidP="008F372D">
            <w:pPr>
              <w:numPr>
                <w:ilvl w:val="2"/>
                <w:numId w:val="5"/>
              </w:numPr>
              <w:tabs>
                <w:tab w:val="clear" w:pos="2160"/>
                <w:tab w:val="num" w:pos="1620"/>
              </w:tabs>
              <w:ind w:left="1080"/>
              <w:textAlignment w:val="center"/>
              <w:rPr>
                <w:rFonts w:ascii="Calibri" w:hAnsi="Calibri"/>
                <w:color w:val="000000"/>
                <w:sz w:val="22"/>
                <w:szCs w:val="22"/>
                <w:lang w:val="en-GB"/>
              </w:rPr>
            </w:pPr>
            <w:r w:rsidRPr="0035589A">
              <w:rPr>
                <w:color w:val="000000"/>
                <w:sz w:val="20"/>
                <w:szCs w:val="20"/>
                <w:lang w:val="en-GB"/>
              </w:rPr>
              <w:t>The configuration for a separately configured initial DL BWP for RedCap UEs is signaled in SIB.</w:t>
            </w:r>
          </w:p>
          <w:p w14:paraId="44B6D601" w14:textId="77777777" w:rsidR="00DB5CE0" w:rsidRPr="0035589A" w:rsidRDefault="00DB5CE0" w:rsidP="008F372D">
            <w:pPr>
              <w:numPr>
                <w:ilvl w:val="2"/>
                <w:numId w:val="5"/>
              </w:numPr>
              <w:tabs>
                <w:tab w:val="clear" w:pos="2160"/>
                <w:tab w:val="num" w:pos="1620"/>
              </w:tabs>
              <w:ind w:left="1080"/>
              <w:textAlignment w:val="center"/>
              <w:rPr>
                <w:rFonts w:ascii="Calibri" w:hAnsi="Calibri"/>
                <w:color w:val="000000"/>
                <w:sz w:val="22"/>
                <w:szCs w:val="22"/>
                <w:lang w:val="en-GB"/>
              </w:rPr>
            </w:pPr>
            <w:r w:rsidRPr="0035589A">
              <w:rPr>
                <w:color w:val="000000"/>
                <w:sz w:val="20"/>
                <w:szCs w:val="20"/>
                <w:lang w:val="en-GB"/>
              </w:rPr>
              <w:lastRenderedPageBreak/>
              <w:t xml:space="preserve">whether to support that separate initial DL BWP for RedCap UEs can include a configuration of CORESET and CSS(s) </w:t>
            </w:r>
          </w:p>
          <w:p w14:paraId="353CB403" w14:textId="77777777" w:rsidR="00DB5CE0" w:rsidRPr="0035589A" w:rsidRDefault="00DB5CE0" w:rsidP="008F372D">
            <w:pPr>
              <w:numPr>
                <w:ilvl w:val="2"/>
                <w:numId w:val="5"/>
              </w:numPr>
              <w:tabs>
                <w:tab w:val="clear" w:pos="2160"/>
                <w:tab w:val="num" w:pos="1620"/>
              </w:tabs>
              <w:ind w:left="1080"/>
              <w:textAlignment w:val="center"/>
              <w:rPr>
                <w:rFonts w:ascii="Calibri" w:hAnsi="Calibri"/>
                <w:color w:val="000000"/>
                <w:sz w:val="22"/>
                <w:szCs w:val="22"/>
                <w:lang w:val="en-GB"/>
              </w:rPr>
            </w:pPr>
            <w:r w:rsidRPr="0035589A">
              <w:rPr>
                <w:color w:val="000000"/>
                <w:sz w:val="20"/>
                <w:szCs w:val="20"/>
                <w:lang w:val="en-GB"/>
              </w:rPr>
              <w:t>whether part of the configuration can be defined instead of signaled</w:t>
            </w:r>
          </w:p>
          <w:p w14:paraId="74D2B426" w14:textId="77777777" w:rsidR="00DB5CE0" w:rsidRPr="0035589A" w:rsidRDefault="00DB5CE0" w:rsidP="008F372D">
            <w:pPr>
              <w:numPr>
                <w:ilvl w:val="1"/>
                <w:numId w:val="5"/>
              </w:numPr>
              <w:tabs>
                <w:tab w:val="clear" w:pos="1440"/>
                <w:tab w:val="num" w:pos="900"/>
              </w:tabs>
              <w:ind w:left="540"/>
              <w:textAlignment w:val="center"/>
              <w:rPr>
                <w:rFonts w:ascii="Calibri" w:hAnsi="Calibri"/>
                <w:color w:val="000000"/>
                <w:sz w:val="22"/>
                <w:szCs w:val="22"/>
                <w:lang w:val="en-GB"/>
              </w:rPr>
            </w:pPr>
            <w:r w:rsidRPr="0035589A">
              <w:rPr>
                <w:color w:val="000000"/>
                <w:sz w:val="20"/>
                <w:szCs w:val="20"/>
                <w:lang w:val="en-GB"/>
              </w:rPr>
              <w:t>If a separate initial DL BWP for RedCap UEs is configured/defined, this separate initial DL BWP for RedCap UEs can be used at least after initial access (i.e., at least after RRC Setup, RRC Resume, or RRC Reestablishment).</w:t>
            </w:r>
          </w:p>
          <w:p w14:paraId="52560692" w14:textId="77777777" w:rsidR="00DB5CE0" w:rsidRPr="0035589A" w:rsidRDefault="00DB5CE0" w:rsidP="008F372D">
            <w:pPr>
              <w:numPr>
                <w:ilvl w:val="2"/>
                <w:numId w:val="5"/>
              </w:numPr>
              <w:tabs>
                <w:tab w:val="clear" w:pos="2160"/>
                <w:tab w:val="num" w:pos="1620"/>
              </w:tabs>
              <w:ind w:left="1080"/>
              <w:textAlignment w:val="center"/>
              <w:rPr>
                <w:rFonts w:ascii="Calibri" w:hAnsi="Calibri"/>
                <w:color w:val="000000"/>
                <w:sz w:val="22"/>
                <w:szCs w:val="22"/>
                <w:lang w:val="en-GB"/>
              </w:rPr>
            </w:pPr>
            <w:r w:rsidRPr="0035589A">
              <w:rPr>
                <w:color w:val="000000"/>
                <w:sz w:val="20"/>
                <w:szCs w:val="20"/>
                <w:lang w:val="en-GB"/>
              </w:rPr>
              <w:t>FFS during the initial access</w:t>
            </w:r>
          </w:p>
          <w:p w14:paraId="4946F71D" w14:textId="28ECDC3E" w:rsidR="00DB5CE0" w:rsidRPr="0035589A" w:rsidRDefault="00DB5CE0" w:rsidP="008F372D">
            <w:pPr>
              <w:numPr>
                <w:ilvl w:val="1"/>
                <w:numId w:val="5"/>
              </w:numPr>
              <w:tabs>
                <w:tab w:val="clear" w:pos="1440"/>
                <w:tab w:val="num" w:pos="900"/>
              </w:tabs>
              <w:ind w:left="540"/>
              <w:textAlignment w:val="center"/>
              <w:rPr>
                <w:rFonts w:ascii="Calibri" w:hAnsi="Calibri"/>
                <w:color w:val="000000"/>
                <w:sz w:val="22"/>
                <w:szCs w:val="22"/>
                <w:lang w:val="en-GB"/>
              </w:rPr>
            </w:pPr>
            <w:r w:rsidRPr="0035589A">
              <w:rPr>
                <w:color w:val="000000"/>
                <w:sz w:val="20"/>
                <w:szCs w:val="20"/>
                <w:lang w:val="en-GB"/>
              </w:rPr>
              <w:t xml:space="preserve">FFS: whether a separately configured initial DL BWP for RedCap UEs needs to contain the </w:t>
            </w:r>
            <w:r w:rsidR="00FA18B9" w:rsidRPr="0035589A">
              <w:rPr>
                <w:color w:val="000000"/>
                <w:sz w:val="20"/>
                <w:szCs w:val="20"/>
                <w:lang w:val="en-GB"/>
              </w:rPr>
              <w:br/>
            </w:r>
            <w:r w:rsidRPr="0035589A">
              <w:rPr>
                <w:color w:val="000000"/>
                <w:sz w:val="20"/>
                <w:szCs w:val="20"/>
                <w:lang w:val="en-GB"/>
              </w:rPr>
              <w:t>entire CORESET #0, and, if not, the Redcap UE behaviour for CORESET #0 monitoring</w:t>
            </w:r>
          </w:p>
          <w:p w14:paraId="4282F8D7" w14:textId="77777777" w:rsidR="00DB5CE0" w:rsidRPr="0035589A" w:rsidRDefault="00DB5CE0" w:rsidP="008F372D">
            <w:pPr>
              <w:numPr>
                <w:ilvl w:val="1"/>
                <w:numId w:val="5"/>
              </w:numPr>
              <w:tabs>
                <w:tab w:val="clear" w:pos="1440"/>
                <w:tab w:val="num" w:pos="900"/>
              </w:tabs>
              <w:ind w:left="540"/>
              <w:textAlignment w:val="center"/>
              <w:rPr>
                <w:rFonts w:ascii="Calibri" w:hAnsi="Calibri"/>
                <w:color w:val="000000"/>
                <w:sz w:val="22"/>
                <w:szCs w:val="22"/>
                <w:lang w:val="en-GB"/>
              </w:rPr>
            </w:pPr>
            <w:r w:rsidRPr="0035589A">
              <w:rPr>
                <w:color w:val="000000"/>
                <w:sz w:val="20"/>
                <w:szCs w:val="20"/>
                <w:lang w:val="en-GB"/>
              </w:rPr>
              <w:t>FFS: supported bandwidths in the separate initial DL BWP</w:t>
            </w:r>
          </w:p>
          <w:p w14:paraId="359119C3" w14:textId="77777777" w:rsidR="00DB5CE0" w:rsidRPr="0035589A" w:rsidRDefault="00DB5CE0" w:rsidP="008F372D">
            <w:pPr>
              <w:numPr>
                <w:ilvl w:val="1"/>
                <w:numId w:val="5"/>
              </w:numPr>
              <w:tabs>
                <w:tab w:val="clear" w:pos="1440"/>
                <w:tab w:val="num" w:pos="900"/>
              </w:tabs>
              <w:ind w:left="540"/>
              <w:textAlignment w:val="center"/>
              <w:rPr>
                <w:rFonts w:ascii="Calibri" w:hAnsi="Calibri"/>
                <w:color w:val="000000"/>
                <w:sz w:val="22"/>
                <w:szCs w:val="22"/>
                <w:lang w:val="en-GB"/>
              </w:rPr>
            </w:pPr>
            <w:r w:rsidRPr="0035589A">
              <w:rPr>
                <w:color w:val="000000"/>
                <w:sz w:val="20"/>
                <w:szCs w:val="20"/>
                <w:lang w:val="en-GB"/>
              </w:rPr>
              <w:t>FFS: whether additional SSB is transmitted in the separately configured initial DL BWP for RedCap UEs</w:t>
            </w:r>
          </w:p>
          <w:p w14:paraId="6DEDAF4B" w14:textId="77777777" w:rsidR="00DB5CE0" w:rsidRPr="006126EE" w:rsidRDefault="00DB5CE0" w:rsidP="008F372D">
            <w:pPr>
              <w:numPr>
                <w:ilvl w:val="1"/>
                <w:numId w:val="5"/>
              </w:numPr>
              <w:tabs>
                <w:tab w:val="clear" w:pos="1440"/>
                <w:tab w:val="num" w:pos="900"/>
              </w:tabs>
              <w:ind w:left="540"/>
              <w:textAlignment w:val="center"/>
              <w:rPr>
                <w:rFonts w:ascii="Calibri" w:hAnsi="Calibri"/>
                <w:color w:val="000000"/>
                <w:sz w:val="22"/>
                <w:szCs w:val="22"/>
                <w:lang w:val="sv-SE"/>
              </w:rPr>
            </w:pPr>
            <w:r w:rsidRPr="0035589A">
              <w:rPr>
                <w:color w:val="000000"/>
                <w:sz w:val="20"/>
                <w:szCs w:val="20"/>
                <w:lang w:val="sv-SE"/>
              </w:rPr>
              <w:t>FFS: FDD case</w:t>
            </w:r>
          </w:p>
          <w:p w14:paraId="526AB746" w14:textId="77777777" w:rsidR="006126EE" w:rsidRDefault="006126EE" w:rsidP="006126EE">
            <w:pPr>
              <w:textAlignment w:val="center"/>
              <w:rPr>
                <w:color w:val="000000"/>
                <w:sz w:val="20"/>
                <w:szCs w:val="20"/>
                <w:lang w:val="sv-SE"/>
              </w:rPr>
            </w:pPr>
          </w:p>
          <w:p w14:paraId="6305C8FA" w14:textId="77777777" w:rsidR="006126EE" w:rsidRPr="00246978" w:rsidRDefault="006126EE" w:rsidP="006126EE">
            <w:pPr>
              <w:pStyle w:val="NormalWeb"/>
              <w:spacing w:before="0" w:beforeAutospacing="0" w:after="0" w:afterAutospacing="0"/>
              <w:rPr>
                <w:color w:val="000000"/>
                <w:sz w:val="20"/>
                <w:szCs w:val="20"/>
                <w:lang w:val="en-GB"/>
              </w:rPr>
            </w:pPr>
            <w:r>
              <w:rPr>
                <w:color w:val="000000"/>
                <w:sz w:val="20"/>
                <w:szCs w:val="20"/>
                <w:highlight w:val="green"/>
                <w:lang w:val="en-GB"/>
              </w:rPr>
              <w:t>Agreements</w:t>
            </w:r>
            <w:r>
              <w:rPr>
                <w:color w:val="000000"/>
                <w:sz w:val="20"/>
                <w:szCs w:val="20"/>
                <w:lang w:val="en-GB"/>
              </w:rPr>
              <w:t xml:space="preserve"> (R1#106):</w:t>
            </w:r>
          </w:p>
          <w:p w14:paraId="6FFC02C6" w14:textId="77777777" w:rsidR="006126EE" w:rsidRPr="00246978" w:rsidRDefault="006126EE" w:rsidP="006126EE">
            <w:pPr>
              <w:numPr>
                <w:ilvl w:val="0"/>
                <w:numId w:val="13"/>
              </w:numPr>
              <w:ind w:left="540"/>
              <w:textAlignment w:val="center"/>
              <w:rPr>
                <w:rFonts w:ascii="Calibri" w:hAnsi="Calibri"/>
                <w:color w:val="000000"/>
                <w:sz w:val="22"/>
                <w:szCs w:val="22"/>
              </w:rPr>
            </w:pPr>
            <w:r w:rsidRPr="00246978">
              <w:rPr>
                <w:bCs/>
                <w:color w:val="000000"/>
                <w:sz w:val="20"/>
                <w:szCs w:val="20"/>
                <w:shd w:val="clear" w:color="auto" w:fill="FFFFFF"/>
              </w:rPr>
              <w:t>In case a separate initial UL BWP is configured for RedCap UEs, it is supported that the network can enable/disable intra-slot PUCCH frequency hopping within the separate initial UL BWP in the PUCCH resource for HARQ feedback for Msg4/MsgB for RedCap UEs.</w:t>
            </w:r>
          </w:p>
          <w:p w14:paraId="69CD8673" w14:textId="7CC897AF" w:rsidR="006126EE" w:rsidRPr="006126EE" w:rsidRDefault="006126EE" w:rsidP="006126EE">
            <w:pPr>
              <w:numPr>
                <w:ilvl w:val="1"/>
                <w:numId w:val="13"/>
              </w:numPr>
              <w:ind w:left="1620"/>
              <w:textAlignment w:val="center"/>
              <w:rPr>
                <w:rFonts w:ascii="Calibri" w:hAnsi="Calibri"/>
                <w:color w:val="000000"/>
                <w:sz w:val="22"/>
                <w:szCs w:val="22"/>
              </w:rPr>
            </w:pPr>
            <w:r w:rsidRPr="00246978">
              <w:rPr>
                <w:bCs/>
                <w:color w:val="000000"/>
                <w:sz w:val="20"/>
                <w:szCs w:val="20"/>
                <w:shd w:val="clear" w:color="auto" w:fill="FFFFFF"/>
              </w:rPr>
              <w:t>Working assumption: The frequency hopping is enabled/disabled at least via SIB.</w:t>
            </w:r>
          </w:p>
        </w:tc>
      </w:tr>
    </w:tbl>
    <w:p w14:paraId="141CC57F" w14:textId="125A6B4C" w:rsidR="002F0B60" w:rsidRDefault="00524509" w:rsidP="00E15AC7">
      <w:pPr>
        <w:spacing w:before="180"/>
        <w:jc w:val="both"/>
        <w:rPr>
          <w:sz w:val="20"/>
          <w:szCs w:val="20"/>
          <w:lang w:val="en-GB"/>
        </w:rPr>
      </w:pPr>
      <w:r>
        <w:rPr>
          <w:sz w:val="20"/>
          <w:szCs w:val="20"/>
          <w:lang w:val="en-GB"/>
        </w:rPr>
        <w:lastRenderedPageBreak/>
        <w:t xml:space="preserve">According to the </w:t>
      </w:r>
      <w:r w:rsidR="00F43EF8">
        <w:rPr>
          <w:sz w:val="20"/>
          <w:szCs w:val="20"/>
          <w:lang w:val="en-GB"/>
        </w:rPr>
        <w:t>agreement</w:t>
      </w:r>
      <w:r w:rsidR="00247591">
        <w:rPr>
          <w:sz w:val="20"/>
          <w:szCs w:val="20"/>
          <w:lang w:val="en-GB"/>
        </w:rPr>
        <w:t>s</w:t>
      </w:r>
      <w:r w:rsidR="00F43EF8">
        <w:rPr>
          <w:sz w:val="20"/>
          <w:szCs w:val="20"/>
          <w:lang w:val="en-GB"/>
        </w:rPr>
        <w:t xml:space="preserve"> listed</w:t>
      </w:r>
      <w:r>
        <w:rPr>
          <w:sz w:val="20"/>
          <w:szCs w:val="20"/>
          <w:lang w:val="en-GB"/>
        </w:rPr>
        <w:t xml:space="preserve"> in the previous section, the RedCap UE should not be required to operate in a BWP wider th</w:t>
      </w:r>
      <w:r w:rsidR="005F2B60">
        <w:rPr>
          <w:sz w:val="20"/>
          <w:szCs w:val="20"/>
          <w:lang w:val="en-GB"/>
        </w:rPr>
        <w:t>an its maximum UE RF bandwidth.</w:t>
      </w:r>
      <w:r>
        <w:rPr>
          <w:sz w:val="20"/>
          <w:szCs w:val="20"/>
          <w:lang w:val="en-GB"/>
        </w:rPr>
        <w:t xml:space="preserve"> </w:t>
      </w:r>
      <w:r w:rsidR="005F2B60">
        <w:rPr>
          <w:sz w:val="20"/>
          <w:szCs w:val="20"/>
          <w:lang w:val="en-GB"/>
        </w:rPr>
        <w:t>Provided that</w:t>
      </w:r>
      <w:r w:rsidR="00064C2D">
        <w:rPr>
          <w:sz w:val="20"/>
          <w:szCs w:val="20"/>
          <w:lang w:val="en-GB"/>
        </w:rPr>
        <w:t xml:space="preserve"> this condition </w:t>
      </w:r>
      <w:r w:rsidR="00C65EFE">
        <w:rPr>
          <w:sz w:val="20"/>
          <w:szCs w:val="20"/>
          <w:lang w:val="en-GB"/>
        </w:rPr>
        <w:t>is</w:t>
      </w:r>
      <w:r w:rsidR="005F2B60">
        <w:rPr>
          <w:sz w:val="20"/>
          <w:szCs w:val="20"/>
          <w:lang w:val="en-GB"/>
        </w:rPr>
        <w:t xml:space="preserve"> met</w:t>
      </w:r>
      <w:r w:rsidR="00C65EFE">
        <w:rPr>
          <w:sz w:val="20"/>
          <w:szCs w:val="20"/>
          <w:lang w:val="en-GB"/>
        </w:rPr>
        <w:t xml:space="preserve">, </w:t>
      </w:r>
      <w:r w:rsidR="00E81F16">
        <w:rPr>
          <w:sz w:val="20"/>
          <w:szCs w:val="20"/>
          <w:lang w:val="en-GB"/>
        </w:rPr>
        <w:t xml:space="preserve">RedCap UEs </w:t>
      </w:r>
      <w:r w:rsidR="00064C2D">
        <w:rPr>
          <w:sz w:val="20"/>
          <w:szCs w:val="20"/>
          <w:lang w:val="en-GB"/>
        </w:rPr>
        <w:t>can</w:t>
      </w:r>
      <w:r w:rsidR="00E81F16">
        <w:rPr>
          <w:sz w:val="20"/>
          <w:szCs w:val="20"/>
          <w:lang w:val="en-GB"/>
        </w:rPr>
        <w:t xml:space="preserve"> share resources with non-RedCap UEs during initial access</w:t>
      </w:r>
      <w:r w:rsidR="00E15AC7">
        <w:rPr>
          <w:sz w:val="20"/>
          <w:szCs w:val="20"/>
          <w:lang w:val="en-GB"/>
        </w:rPr>
        <w:t xml:space="preserve"> to </w:t>
      </w:r>
      <w:r w:rsidR="00C65EFE">
        <w:rPr>
          <w:sz w:val="20"/>
          <w:szCs w:val="20"/>
          <w:lang w:val="en-GB"/>
        </w:rPr>
        <w:t>minimize resource fragmentation and</w:t>
      </w:r>
      <w:r w:rsidR="00E15AC7">
        <w:rPr>
          <w:sz w:val="20"/>
          <w:szCs w:val="20"/>
          <w:lang w:val="en-GB"/>
        </w:rPr>
        <w:t xml:space="preserve"> signalling </w:t>
      </w:r>
      <w:r w:rsidR="00C65EFE" w:rsidRPr="00E5664E">
        <w:rPr>
          <w:sz w:val="20"/>
          <w:szCs w:val="20"/>
          <w:lang w:val="en-GB"/>
        </w:rPr>
        <w:t>overhead</w:t>
      </w:r>
      <w:r w:rsidRPr="00E5664E">
        <w:rPr>
          <w:sz w:val="20"/>
          <w:szCs w:val="20"/>
          <w:lang w:val="en-GB"/>
        </w:rPr>
        <w:t>.</w:t>
      </w:r>
      <w:r w:rsidR="00247591" w:rsidRPr="00E5664E">
        <w:rPr>
          <w:sz w:val="20"/>
          <w:szCs w:val="20"/>
          <w:lang w:val="en-GB"/>
        </w:rPr>
        <w:t xml:space="preserve"> </w:t>
      </w:r>
      <w:r w:rsidR="00247591" w:rsidRPr="00980A5C">
        <w:rPr>
          <w:sz w:val="20"/>
          <w:szCs w:val="20"/>
          <w:lang w:val="en-GB"/>
        </w:rPr>
        <w:t>When SIB1 configures wider DL BWP#0 than the maximum RedCap UE BW</w:t>
      </w:r>
      <w:r w:rsidR="00247591" w:rsidRPr="00E5664E">
        <w:rPr>
          <w:sz w:val="20"/>
          <w:szCs w:val="20"/>
          <w:lang w:val="en-GB"/>
        </w:rPr>
        <w:t xml:space="preserve">, </w:t>
      </w:r>
      <w:r w:rsidR="00247591" w:rsidRPr="00980A5C">
        <w:rPr>
          <w:sz w:val="20"/>
          <w:szCs w:val="20"/>
          <w:lang w:val="en-GB"/>
        </w:rPr>
        <w:t xml:space="preserve">Msg2 and Msg4 could still be scheduled in MIB-defined CORESET#0 </w:t>
      </w:r>
      <w:r w:rsidR="00CF1FE3" w:rsidRPr="00E5664E">
        <w:rPr>
          <w:sz w:val="20"/>
          <w:szCs w:val="20"/>
          <w:lang w:val="en-GB"/>
        </w:rPr>
        <w:t>bandwidth allowing the use of shared resources</w:t>
      </w:r>
      <w:r w:rsidR="00247591" w:rsidRPr="00E5664E">
        <w:rPr>
          <w:sz w:val="20"/>
          <w:szCs w:val="20"/>
          <w:lang w:val="en-GB"/>
        </w:rPr>
        <w:t>.</w:t>
      </w:r>
    </w:p>
    <w:p w14:paraId="32C92A2F" w14:textId="1A1AF3C6" w:rsidR="00247591" w:rsidRDefault="00247591" w:rsidP="00E15AC7">
      <w:pPr>
        <w:spacing w:before="180"/>
        <w:jc w:val="both"/>
        <w:rPr>
          <w:sz w:val="20"/>
          <w:szCs w:val="20"/>
          <w:lang w:val="en-GB"/>
        </w:rPr>
      </w:pPr>
      <w:r>
        <w:rPr>
          <w:sz w:val="20"/>
          <w:szCs w:val="20"/>
          <w:lang w:val="en-GB"/>
        </w:rPr>
        <w:t xml:space="preserve">In TDD case, when separate initial UL BWP is configured for RedCap UEs, the initial DL BWP must have the same center-frequency. With the current agreements, this restricts the centre frequency of the MIB-defined CORESET#0 frequency range, which shall be used by all downlink transmissions during initial access. </w:t>
      </w:r>
    </w:p>
    <w:p w14:paraId="7AB239FA" w14:textId="403BCBD1" w:rsidR="002F0B60" w:rsidRDefault="002F0B60" w:rsidP="00E15AC7">
      <w:pPr>
        <w:spacing w:before="180"/>
        <w:jc w:val="both"/>
        <w:rPr>
          <w:sz w:val="20"/>
          <w:szCs w:val="20"/>
          <w:lang w:val="en-GB"/>
        </w:rPr>
      </w:pPr>
      <w:r>
        <w:rPr>
          <w:sz w:val="20"/>
          <w:szCs w:val="20"/>
          <w:lang w:val="en-GB"/>
        </w:rPr>
        <w:t xml:space="preserve">With the current </w:t>
      </w:r>
      <w:r w:rsidR="00F01049">
        <w:rPr>
          <w:sz w:val="20"/>
          <w:szCs w:val="20"/>
          <w:lang w:val="en-GB"/>
        </w:rPr>
        <w:t>agreement</w:t>
      </w:r>
      <w:r w:rsidR="00247591">
        <w:rPr>
          <w:sz w:val="20"/>
          <w:szCs w:val="20"/>
          <w:lang w:val="en-GB"/>
        </w:rPr>
        <w:t>s</w:t>
      </w:r>
      <w:r>
        <w:rPr>
          <w:sz w:val="20"/>
          <w:szCs w:val="20"/>
          <w:lang w:val="en-GB"/>
        </w:rPr>
        <w:t xml:space="preserve"> the following two options </w:t>
      </w:r>
      <w:r w:rsidR="00247591">
        <w:rPr>
          <w:sz w:val="20"/>
          <w:szCs w:val="20"/>
          <w:lang w:val="en-GB"/>
        </w:rPr>
        <w:t>capture the</w:t>
      </w:r>
      <w:r>
        <w:rPr>
          <w:sz w:val="20"/>
          <w:szCs w:val="20"/>
          <w:lang w:val="en-GB"/>
        </w:rPr>
        <w:t xml:space="preserve"> possible</w:t>
      </w:r>
      <w:r w:rsidR="00247591">
        <w:rPr>
          <w:sz w:val="20"/>
          <w:szCs w:val="20"/>
          <w:lang w:val="en-GB"/>
        </w:rPr>
        <w:t xml:space="preserve"> choices for a specific deployment.</w:t>
      </w:r>
    </w:p>
    <w:p w14:paraId="1F3F724F" w14:textId="09154E41" w:rsidR="00766D33" w:rsidRDefault="00ED6CC7" w:rsidP="00ED6CC7">
      <w:pPr>
        <w:spacing w:before="180"/>
        <w:jc w:val="both"/>
        <w:rPr>
          <w:b/>
          <w:color w:val="000000" w:themeColor="text1"/>
          <w:sz w:val="20"/>
          <w:szCs w:val="20"/>
          <w:lang w:val="en-GB"/>
        </w:rPr>
      </w:pPr>
      <w:r w:rsidRPr="00ED6CC7">
        <w:rPr>
          <w:b/>
          <w:sz w:val="20"/>
          <w:szCs w:val="20"/>
          <w:lang w:val="en-GB"/>
        </w:rPr>
        <w:t>Option-1:</w:t>
      </w:r>
      <w:r w:rsidR="00766D33">
        <w:rPr>
          <w:b/>
          <w:sz w:val="20"/>
          <w:szCs w:val="20"/>
          <w:lang w:val="en-GB"/>
        </w:rPr>
        <w:t xml:space="preserve"> </w:t>
      </w:r>
      <w:r w:rsidR="00766D33">
        <w:rPr>
          <w:b/>
          <w:color w:val="000000" w:themeColor="text1"/>
          <w:sz w:val="20"/>
          <w:szCs w:val="20"/>
          <w:lang w:val="en-GB"/>
        </w:rPr>
        <w:t>Baseline case with RedCap initial UL/DL BWP#0 at the centre of the</w:t>
      </w:r>
      <w:r w:rsidR="00766D33">
        <w:rPr>
          <w:b/>
          <w:color w:val="000000" w:themeColor="text1"/>
          <w:sz w:val="20"/>
          <w:szCs w:val="20"/>
          <w:lang w:val="en-GB"/>
        </w:rPr>
        <w:tab/>
        <w:t>carrier</w:t>
      </w:r>
      <w:r w:rsidR="00A77158">
        <w:rPr>
          <w:b/>
          <w:color w:val="000000" w:themeColor="text1"/>
          <w:sz w:val="20"/>
          <w:szCs w:val="20"/>
          <w:lang w:val="en-GB"/>
        </w:rPr>
        <w:t xml:space="preserve"> (Figure 1)</w:t>
      </w:r>
    </w:p>
    <w:p w14:paraId="50BBC65C" w14:textId="3EAB995F" w:rsidR="003F724B" w:rsidRPr="003F724B" w:rsidRDefault="006A3BCF" w:rsidP="003F75C1">
      <w:pPr>
        <w:spacing w:before="180"/>
        <w:jc w:val="both"/>
        <w:rPr>
          <w:color w:val="000000" w:themeColor="text1"/>
          <w:sz w:val="20"/>
          <w:szCs w:val="20"/>
        </w:rPr>
      </w:pPr>
      <w:r>
        <w:rPr>
          <w:color w:val="000000" w:themeColor="text1"/>
          <w:sz w:val="20"/>
          <w:szCs w:val="20"/>
        </w:rPr>
        <w:t xml:space="preserve">All UEs use the MIB-defined initial DL BWP. </w:t>
      </w:r>
      <w:r w:rsidR="003F724B" w:rsidRPr="00ED6CC7">
        <w:rPr>
          <w:sz w:val="20"/>
          <w:szCs w:val="20"/>
          <w:lang w:val="en-GB"/>
        </w:rPr>
        <w:t>The</w:t>
      </w:r>
      <w:r w:rsidR="003F724B" w:rsidRPr="003F724B">
        <w:rPr>
          <w:color w:val="000000" w:themeColor="text1"/>
          <w:sz w:val="20"/>
          <w:szCs w:val="20"/>
        </w:rPr>
        <w:t xml:space="preserve"> i</w:t>
      </w:r>
      <w:r w:rsidR="00D37617">
        <w:rPr>
          <w:color w:val="000000" w:themeColor="text1"/>
          <w:sz w:val="20"/>
          <w:szCs w:val="20"/>
        </w:rPr>
        <w:t xml:space="preserve">nitial </w:t>
      </w:r>
      <w:r w:rsidR="0024195C">
        <w:rPr>
          <w:color w:val="000000" w:themeColor="text1"/>
          <w:sz w:val="20"/>
          <w:szCs w:val="20"/>
        </w:rPr>
        <w:t xml:space="preserve">UL and DL </w:t>
      </w:r>
      <w:r w:rsidR="003F724B" w:rsidRPr="003F724B">
        <w:rPr>
          <w:color w:val="000000" w:themeColor="text1"/>
          <w:sz w:val="20"/>
          <w:szCs w:val="20"/>
        </w:rPr>
        <w:t>BWPs</w:t>
      </w:r>
      <w:r w:rsidR="0024195C">
        <w:rPr>
          <w:color w:val="000000" w:themeColor="text1"/>
          <w:sz w:val="20"/>
          <w:szCs w:val="20"/>
        </w:rPr>
        <w:t xml:space="preserve"> </w:t>
      </w:r>
      <w:r w:rsidR="003F724B" w:rsidRPr="003F724B">
        <w:rPr>
          <w:color w:val="000000" w:themeColor="text1"/>
          <w:sz w:val="20"/>
          <w:szCs w:val="20"/>
        </w:rPr>
        <w:t xml:space="preserve">for RedCap UEs </w:t>
      </w:r>
      <w:r>
        <w:rPr>
          <w:color w:val="000000" w:themeColor="text1"/>
          <w:sz w:val="20"/>
          <w:szCs w:val="20"/>
        </w:rPr>
        <w:t>is</w:t>
      </w:r>
      <w:r w:rsidR="003F724B" w:rsidRPr="003F724B">
        <w:rPr>
          <w:color w:val="000000" w:themeColor="text1"/>
          <w:sz w:val="20"/>
          <w:szCs w:val="20"/>
        </w:rPr>
        <w:t xml:space="preserve"> located at the centre of the carrier </w:t>
      </w:r>
      <w:r w:rsidR="0024195C">
        <w:rPr>
          <w:color w:val="000000" w:themeColor="text1"/>
          <w:sz w:val="20"/>
          <w:szCs w:val="20"/>
        </w:rPr>
        <w:t>similarly to the non-RedCap UE</w:t>
      </w:r>
      <w:r w:rsidR="003F724B" w:rsidRPr="003F724B">
        <w:rPr>
          <w:color w:val="000000" w:themeColor="text1"/>
          <w:sz w:val="20"/>
          <w:szCs w:val="20"/>
        </w:rPr>
        <w:t>.</w:t>
      </w:r>
      <w:r>
        <w:rPr>
          <w:color w:val="000000" w:themeColor="text1"/>
          <w:sz w:val="20"/>
          <w:szCs w:val="20"/>
        </w:rPr>
        <w:t xml:space="preserve"> </w:t>
      </w:r>
      <w:r w:rsidR="003F724B" w:rsidRPr="003F724B">
        <w:rPr>
          <w:color w:val="000000" w:themeColor="text1"/>
          <w:sz w:val="20"/>
          <w:szCs w:val="20"/>
        </w:rPr>
        <w:t xml:space="preserve">However, this </w:t>
      </w:r>
      <w:r w:rsidR="008761F7">
        <w:rPr>
          <w:color w:val="000000" w:themeColor="text1"/>
          <w:sz w:val="20"/>
          <w:szCs w:val="20"/>
        </w:rPr>
        <w:t>may</w:t>
      </w:r>
      <w:r w:rsidR="008761F7" w:rsidRPr="003F724B">
        <w:rPr>
          <w:color w:val="000000" w:themeColor="text1"/>
          <w:sz w:val="20"/>
          <w:szCs w:val="20"/>
        </w:rPr>
        <w:t xml:space="preserve"> </w:t>
      </w:r>
      <w:r w:rsidR="003F724B" w:rsidRPr="003F724B">
        <w:rPr>
          <w:color w:val="000000" w:themeColor="text1"/>
          <w:sz w:val="20"/>
          <w:szCs w:val="20"/>
        </w:rPr>
        <w:t xml:space="preserve">cause PUSCH fragmentation for </w:t>
      </w:r>
      <w:r w:rsidR="008761F7">
        <w:rPr>
          <w:color w:val="000000" w:themeColor="text1"/>
          <w:sz w:val="20"/>
          <w:szCs w:val="20"/>
        </w:rPr>
        <w:t xml:space="preserve">some </w:t>
      </w:r>
      <w:r w:rsidR="003F724B" w:rsidRPr="003F724B">
        <w:rPr>
          <w:color w:val="000000" w:themeColor="text1"/>
          <w:sz w:val="20"/>
          <w:szCs w:val="20"/>
        </w:rPr>
        <w:t>non-RedCap UEs that do</w:t>
      </w:r>
      <w:r w:rsidR="00247591">
        <w:rPr>
          <w:color w:val="000000" w:themeColor="text1"/>
          <w:sz w:val="20"/>
          <w:szCs w:val="20"/>
        </w:rPr>
        <w:t xml:space="preserve"> not</w:t>
      </w:r>
      <w:r w:rsidR="003F724B" w:rsidRPr="003F724B">
        <w:rPr>
          <w:color w:val="000000" w:themeColor="text1"/>
          <w:sz w:val="20"/>
          <w:szCs w:val="20"/>
        </w:rPr>
        <w:t xml:space="preserve"> support non-contiguous PUSCH transmission.</w:t>
      </w:r>
      <w:r w:rsidR="008761F7">
        <w:rPr>
          <w:color w:val="000000" w:themeColor="text1"/>
          <w:sz w:val="20"/>
          <w:szCs w:val="20"/>
        </w:rPr>
        <w:t xml:space="preserve"> However</w:t>
      </w:r>
      <w:r w:rsidR="00247591">
        <w:rPr>
          <w:color w:val="000000" w:themeColor="text1"/>
          <w:sz w:val="20"/>
          <w:szCs w:val="20"/>
        </w:rPr>
        <w:t xml:space="preserve">, </w:t>
      </w:r>
      <w:r w:rsidR="008C1965">
        <w:rPr>
          <w:color w:val="000000" w:themeColor="text1"/>
          <w:sz w:val="20"/>
          <w:szCs w:val="20"/>
        </w:rPr>
        <w:t xml:space="preserve">the impact to the system performance is </w:t>
      </w:r>
      <w:r w:rsidR="008C1965" w:rsidRPr="00EE7DF0">
        <w:rPr>
          <w:color w:val="000000" w:themeColor="text1"/>
          <w:sz w:val="20"/>
          <w:szCs w:val="20"/>
        </w:rPr>
        <w:t>negligible</w:t>
      </w:r>
      <w:r w:rsidR="008C1965" w:rsidRPr="00EE7DF0" w:rsidDel="00EE7DF0">
        <w:rPr>
          <w:color w:val="000000" w:themeColor="text1"/>
          <w:sz w:val="20"/>
          <w:szCs w:val="20"/>
        </w:rPr>
        <w:t xml:space="preserve"> </w:t>
      </w:r>
      <w:r w:rsidR="008C1965">
        <w:rPr>
          <w:color w:val="000000" w:themeColor="text1"/>
          <w:sz w:val="20"/>
          <w:szCs w:val="20"/>
        </w:rPr>
        <w:t>and the issue present</w:t>
      </w:r>
      <w:r w:rsidR="004E4C8D">
        <w:rPr>
          <w:color w:val="000000" w:themeColor="text1"/>
          <w:sz w:val="20"/>
          <w:szCs w:val="20"/>
        </w:rPr>
        <w:t>s</w:t>
      </w:r>
      <w:bookmarkStart w:id="2" w:name="_GoBack"/>
      <w:bookmarkEnd w:id="2"/>
      <w:r w:rsidR="008C1965">
        <w:rPr>
          <w:color w:val="000000" w:themeColor="text1"/>
          <w:sz w:val="20"/>
          <w:szCs w:val="20"/>
        </w:rPr>
        <w:t xml:space="preserve"> itself in corner cases when considering the following:</w:t>
      </w:r>
    </w:p>
    <w:p w14:paraId="4EB58951" w14:textId="386395FE" w:rsidR="003F724B" w:rsidRPr="003F724B" w:rsidRDefault="003F724B" w:rsidP="003F75C1">
      <w:pPr>
        <w:numPr>
          <w:ilvl w:val="0"/>
          <w:numId w:val="15"/>
        </w:numPr>
        <w:spacing w:before="120"/>
        <w:ind w:left="284" w:hanging="284"/>
        <w:jc w:val="both"/>
        <w:textAlignment w:val="center"/>
        <w:rPr>
          <w:color w:val="000000" w:themeColor="text1"/>
          <w:sz w:val="20"/>
          <w:szCs w:val="20"/>
        </w:rPr>
      </w:pPr>
      <w:r w:rsidRPr="003F724B">
        <w:rPr>
          <w:color w:val="000000" w:themeColor="text1"/>
          <w:sz w:val="20"/>
          <w:szCs w:val="20"/>
        </w:rPr>
        <w:t xml:space="preserve">UEs that support non-contiguous </w:t>
      </w:r>
      <w:r w:rsidR="005269F5">
        <w:rPr>
          <w:color w:val="000000" w:themeColor="text1"/>
          <w:sz w:val="20"/>
          <w:szCs w:val="20"/>
        </w:rPr>
        <w:t>PUSCH transmission will not suffer from PUSCH fragmentation</w:t>
      </w:r>
      <w:r w:rsidRPr="003F724B">
        <w:rPr>
          <w:color w:val="000000" w:themeColor="text1"/>
          <w:sz w:val="20"/>
          <w:szCs w:val="20"/>
        </w:rPr>
        <w:t>.</w:t>
      </w:r>
    </w:p>
    <w:p w14:paraId="2561D6B9" w14:textId="32E990ED" w:rsidR="003F724B" w:rsidRPr="003F724B" w:rsidRDefault="003F724B" w:rsidP="003F75C1">
      <w:pPr>
        <w:numPr>
          <w:ilvl w:val="0"/>
          <w:numId w:val="15"/>
        </w:numPr>
        <w:spacing w:before="120"/>
        <w:ind w:left="284" w:hanging="284"/>
        <w:jc w:val="both"/>
        <w:textAlignment w:val="center"/>
        <w:rPr>
          <w:color w:val="000000" w:themeColor="text1"/>
          <w:sz w:val="20"/>
          <w:szCs w:val="20"/>
        </w:rPr>
      </w:pPr>
      <w:r w:rsidRPr="003F724B">
        <w:rPr>
          <w:color w:val="000000" w:themeColor="text1"/>
          <w:sz w:val="20"/>
          <w:szCs w:val="20"/>
        </w:rPr>
        <w:t xml:space="preserve">PUSCH fragmentation for non-RedCap UEs will </w:t>
      </w:r>
      <w:r w:rsidR="00CC2B21">
        <w:rPr>
          <w:color w:val="000000" w:themeColor="text1"/>
          <w:sz w:val="20"/>
          <w:szCs w:val="20"/>
        </w:rPr>
        <w:t xml:space="preserve">occur with sustained traffic with very high throughput traffic and a radio link with high SNR. </w:t>
      </w:r>
      <w:r w:rsidR="006141EB">
        <w:rPr>
          <w:color w:val="000000" w:themeColor="text1"/>
          <w:sz w:val="20"/>
          <w:szCs w:val="20"/>
        </w:rPr>
        <w:t>The probability of occurrence depends on the frequency of occurrence of RedCap UEs initiating a RACH procedure. In Connected mode</w:t>
      </w:r>
      <w:r w:rsidR="001E41AE">
        <w:rPr>
          <w:color w:val="000000" w:themeColor="text1"/>
          <w:sz w:val="20"/>
          <w:szCs w:val="20"/>
        </w:rPr>
        <w:t>,</w:t>
      </w:r>
      <w:r w:rsidR="006141EB">
        <w:rPr>
          <w:color w:val="000000" w:themeColor="text1"/>
          <w:sz w:val="20"/>
          <w:szCs w:val="20"/>
        </w:rPr>
        <w:t xml:space="preserve"> sending HARQ codebooks</w:t>
      </w:r>
      <w:r w:rsidR="001E41AE">
        <w:rPr>
          <w:color w:val="000000" w:themeColor="text1"/>
          <w:sz w:val="20"/>
          <w:szCs w:val="20"/>
        </w:rPr>
        <w:t xml:space="preserve"> can be</w:t>
      </w:r>
      <w:r w:rsidR="006141EB">
        <w:rPr>
          <w:color w:val="000000" w:themeColor="text1"/>
          <w:sz w:val="20"/>
          <w:szCs w:val="20"/>
        </w:rPr>
        <w:t xml:space="preserve"> </w:t>
      </w:r>
      <w:r w:rsidR="001E41AE">
        <w:rPr>
          <w:color w:val="000000" w:themeColor="text1"/>
          <w:sz w:val="20"/>
          <w:szCs w:val="20"/>
        </w:rPr>
        <w:t xml:space="preserve">sent </w:t>
      </w:r>
      <w:r w:rsidR="006141EB">
        <w:rPr>
          <w:color w:val="000000" w:themeColor="text1"/>
          <w:sz w:val="20"/>
          <w:szCs w:val="20"/>
        </w:rPr>
        <w:t>in an efficient manner</w:t>
      </w:r>
      <w:r w:rsidR="001E41AE">
        <w:rPr>
          <w:color w:val="000000" w:themeColor="text1"/>
          <w:sz w:val="20"/>
          <w:szCs w:val="20"/>
        </w:rPr>
        <w:t xml:space="preserve"> without resource fragmentation,</w:t>
      </w:r>
      <w:r w:rsidR="006141EB">
        <w:rPr>
          <w:color w:val="000000" w:themeColor="text1"/>
          <w:sz w:val="20"/>
          <w:szCs w:val="20"/>
        </w:rPr>
        <w:t xml:space="preserve"> multiplexing multiple UEs on the same time-frequency resources. Therefore, the packet data rate reduction measured over a slot where PUSCH fragmentation occurs needs to be weighted by the rate of occurrence. </w:t>
      </w:r>
      <w:r w:rsidR="006126EE">
        <w:rPr>
          <w:color w:val="000000" w:themeColor="text1"/>
          <w:sz w:val="20"/>
          <w:szCs w:val="20"/>
        </w:rPr>
        <w:t>TDM avoidance only represents an issue for Msg4-</w:t>
      </w:r>
      <w:r w:rsidR="00B51B0F">
        <w:rPr>
          <w:color w:val="000000" w:themeColor="text1"/>
          <w:sz w:val="20"/>
          <w:szCs w:val="20"/>
        </w:rPr>
        <w:t>HARQ</w:t>
      </w:r>
      <w:r w:rsidR="006126EE">
        <w:rPr>
          <w:color w:val="000000" w:themeColor="text1"/>
          <w:sz w:val="20"/>
          <w:szCs w:val="20"/>
        </w:rPr>
        <w:t xml:space="preserve"> as it applies </w:t>
      </w:r>
      <w:r w:rsidR="00B51B0F">
        <w:rPr>
          <w:color w:val="000000" w:themeColor="text1"/>
          <w:sz w:val="20"/>
          <w:szCs w:val="20"/>
        </w:rPr>
        <w:t xml:space="preserve">PUCCH </w:t>
      </w:r>
      <w:r w:rsidR="006126EE">
        <w:rPr>
          <w:color w:val="000000" w:themeColor="text1"/>
          <w:sz w:val="20"/>
          <w:szCs w:val="20"/>
        </w:rPr>
        <w:t>frequency hopping and HARQ-ACK feedback occurs on resources relatively dispersed in time.</w:t>
      </w:r>
      <w:r w:rsidR="006141EB">
        <w:rPr>
          <w:color w:val="000000" w:themeColor="text1"/>
          <w:sz w:val="20"/>
          <w:szCs w:val="20"/>
        </w:rPr>
        <w:t xml:space="preserve"> </w:t>
      </w:r>
    </w:p>
    <w:p w14:paraId="5AEC3475" w14:textId="77777777" w:rsidR="00555A08" w:rsidRPr="00555A08" w:rsidRDefault="003F724B" w:rsidP="001E41AE">
      <w:pPr>
        <w:numPr>
          <w:ilvl w:val="0"/>
          <w:numId w:val="15"/>
        </w:numPr>
        <w:spacing w:before="120"/>
        <w:ind w:left="284" w:hanging="284"/>
        <w:jc w:val="both"/>
        <w:textAlignment w:val="center"/>
        <w:rPr>
          <w:color w:val="000000" w:themeColor="text1"/>
          <w:sz w:val="20"/>
          <w:szCs w:val="20"/>
        </w:rPr>
      </w:pPr>
      <w:r w:rsidRPr="007633F2">
        <w:rPr>
          <w:color w:val="000000" w:themeColor="text1"/>
          <w:sz w:val="20"/>
          <w:szCs w:val="20"/>
        </w:rPr>
        <w:t xml:space="preserve">Disabling </w:t>
      </w:r>
      <w:r w:rsidR="00555A08">
        <w:rPr>
          <w:color w:val="000000" w:themeColor="text1"/>
          <w:sz w:val="20"/>
          <w:szCs w:val="20"/>
        </w:rPr>
        <w:t xml:space="preserve">PUCCH </w:t>
      </w:r>
      <w:r w:rsidR="00B51B0F">
        <w:rPr>
          <w:color w:val="000000" w:themeColor="text1"/>
          <w:sz w:val="20"/>
          <w:szCs w:val="20"/>
        </w:rPr>
        <w:t>frequency hopping</w:t>
      </w:r>
      <w:r w:rsidRPr="007633F2">
        <w:rPr>
          <w:color w:val="000000" w:themeColor="text1"/>
          <w:sz w:val="20"/>
          <w:szCs w:val="20"/>
        </w:rPr>
        <w:t xml:space="preserve"> for </w:t>
      </w:r>
      <w:r w:rsidR="005269F5">
        <w:rPr>
          <w:color w:val="000000" w:themeColor="text1"/>
          <w:sz w:val="20"/>
          <w:szCs w:val="20"/>
        </w:rPr>
        <w:t>Msg4-</w:t>
      </w:r>
      <w:r w:rsidR="00B51B0F">
        <w:rPr>
          <w:color w:val="000000" w:themeColor="text1"/>
          <w:sz w:val="20"/>
          <w:szCs w:val="20"/>
        </w:rPr>
        <w:t>HARQ</w:t>
      </w:r>
      <w:r w:rsidRPr="007633F2">
        <w:rPr>
          <w:color w:val="000000" w:themeColor="text1"/>
          <w:sz w:val="20"/>
          <w:szCs w:val="20"/>
        </w:rPr>
        <w:t xml:space="preserve"> </w:t>
      </w:r>
      <w:r w:rsidR="005269F5">
        <w:rPr>
          <w:color w:val="000000" w:themeColor="text1"/>
          <w:sz w:val="20"/>
          <w:szCs w:val="20"/>
        </w:rPr>
        <w:t>brings substantial improvement in</w:t>
      </w:r>
      <w:r w:rsidRPr="007633F2">
        <w:rPr>
          <w:color w:val="000000" w:themeColor="text1"/>
          <w:sz w:val="20"/>
          <w:szCs w:val="20"/>
        </w:rPr>
        <w:t xml:space="preserve"> reducing the PUSCH fragmentation issue.</w:t>
      </w:r>
      <w:r w:rsidR="005269F5">
        <w:rPr>
          <w:color w:val="000000" w:themeColor="text1"/>
          <w:sz w:val="20"/>
          <w:szCs w:val="20"/>
        </w:rPr>
        <w:t xml:space="preserve"> Meanwhile, it does not limit the coverage according </w:t>
      </w:r>
      <w:r w:rsidR="005269F5" w:rsidRPr="005269F5">
        <w:rPr>
          <w:color w:val="000000" w:themeColor="text1"/>
          <w:sz w:val="20"/>
          <w:szCs w:val="20"/>
        </w:rPr>
        <w:t>TR 38.875</w:t>
      </w:r>
      <w:r w:rsidR="005269F5">
        <w:rPr>
          <w:color w:val="000000" w:themeColor="text1"/>
          <w:sz w:val="20"/>
          <w:szCs w:val="20"/>
        </w:rPr>
        <w:t xml:space="preserve"> since it only carries a few HARQ-ACK bits.</w:t>
      </w:r>
      <w:r w:rsidR="00CD35D7" w:rsidRPr="007633F2">
        <w:rPr>
          <w:color w:val="000000" w:themeColor="text1"/>
          <w:sz w:val="20"/>
          <w:szCs w:val="20"/>
        </w:rPr>
        <w:t xml:space="preserve"> </w:t>
      </w:r>
      <w:r w:rsidR="00555A08" w:rsidRPr="00555A08">
        <w:rPr>
          <w:sz w:val="20"/>
          <w:szCs w:val="20"/>
        </w:rPr>
        <w:t>The</w:t>
      </w:r>
      <w:r w:rsidR="007633F2" w:rsidRPr="00555A08">
        <w:rPr>
          <w:sz w:val="20"/>
          <w:szCs w:val="20"/>
        </w:rPr>
        <w:t xml:space="preserve"> evaluation </w:t>
      </w:r>
      <w:r w:rsidR="007633F2" w:rsidRPr="00555A08">
        <w:rPr>
          <w:sz w:val="20"/>
          <w:szCs w:val="20"/>
        </w:rPr>
        <w:fldChar w:fldCharType="begin"/>
      </w:r>
      <w:r w:rsidR="007633F2" w:rsidRPr="00555A08">
        <w:rPr>
          <w:sz w:val="20"/>
          <w:szCs w:val="20"/>
        </w:rPr>
        <w:instrText xml:space="preserve"> REF _Ref83900830 \n \h </w:instrText>
      </w:r>
      <w:r w:rsidR="007633F2" w:rsidRPr="00555A08">
        <w:rPr>
          <w:sz w:val="20"/>
          <w:szCs w:val="20"/>
        </w:rPr>
      </w:r>
      <w:r w:rsidR="007633F2" w:rsidRPr="00555A08">
        <w:rPr>
          <w:sz w:val="20"/>
          <w:szCs w:val="20"/>
        </w:rPr>
        <w:fldChar w:fldCharType="separate"/>
      </w:r>
      <w:r w:rsidR="007633F2" w:rsidRPr="00555A08">
        <w:rPr>
          <w:sz w:val="20"/>
          <w:szCs w:val="20"/>
        </w:rPr>
        <w:t>[3]</w:t>
      </w:r>
      <w:r w:rsidR="007633F2" w:rsidRPr="00555A08">
        <w:rPr>
          <w:sz w:val="20"/>
          <w:szCs w:val="20"/>
        </w:rPr>
        <w:fldChar w:fldCharType="end"/>
      </w:r>
      <w:r w:rsidR="007633F2" w:rsidRPr="00555A08">
        <w:rPr>
          <w:sz w:val="20"/>
          <w:szCs w:val="20"/>
        </w:rPr>
        <w:t xml:space="preserve"> </w:t>
      </w:r>
      <w:r w:rsidR="00555A08" w:rsidRPr="00555A08">
        <w:rPr>
          <w:sz w:val="20"/>
          <w:szCs w:val="20"/>
        </w:rPr>
        <w:t xml:space="preserve">of the </w:t>
      </w:r>
      <w:r w:rsidR="007633F2" w:rsidRPr="00555A08">
        <w:rPr>
          <w:sz w:val="20"/>
          <w:szCs w:val="20"/>
        </w:rPr>
        <w:t xml:space="preserve">minimum reduction of the </w:t>
      </w:r>
      <w:r w:rsidR="00555A08" w:rsidRPr="00555A08">
        <w:rPr>
          <w:sz w:val="20"/>
          <w:szCs w:val="20"/>
        </w:rPr>
        <w:t xml:space="preserve">achievable </w:t>
      </w:r>
      <w:r w:rsidR="007633F2" w:rsidRPr="00555A08">
        <w:rPr>
          <w:sz w:val="20"/>
          <w:szCs w:val="20"/>
        </w:rPr>
        <w:t>peak packet data rate for the non-RedCap UE</w:t>
      </w:r>
      <w:r w:rsidR="00555A08" w:rsidRPr="00555A08">
        <w:rPr>
          <w:sz w:val="20"/>
          <w:szCs w:val="20"/>
        </w:rPr>
        <w:t>s</w:t>
      </w:r>
      <w:r w:rsidR="007633F2" w:rsidRPr="00555A08">
        <w:rPr>
          <w:sz w:val="20"/>
          <w:szCs w:val="20"/>
        </w:rPr>
        <w:t xml:space="preserve"> grows </w:t>
      </w:r>
      <w:r w:rsidR="00555A08" w:rsidRPr="00555A08">
        <w:rPr>
          <w:sz w:val="20"/>
          <w:szCs w:val="20"/>
        </w:rPr>
        <w:t xml:space="preserve">from 0% to 30% and 40% between 20 MHz, 50 MHz, 100 MHz, respectively. </w:t>
      </w:r>
    </w:p>
    <w:p w14:paraId="02CC8340" w14:textId="6F858189" w:rsidR="00766D33" w:rsidRDefault="00766D33" w:rsidP="00766D33">
      <w:pPr>
        <w:spacing w:before="180"/>
        <w:jc w:val="both"/>
        <w:rPr>
          <w:b/>
          <w:color w:val="000000" w:themeColor="text1"/>
          <w:sz w:val="20"/>
          <w:szCs w:val="20"/>
          <w:lang w:val="en-GB"/>
        </w:rPr>
      </w:pPr>
      <w:r w:rsidRPr="00ED6CC7">
        <w:rPr>
          <w:b/>
          <w:sz w:val="20"/>
          <w:szCs w:val="20"/>
          <w:lang w:val="en-GB"/>
        </w:rPr>
        <w:t>Option-</w:t>
      </w:r>
      <w:r>
        <w:rPr>
          <w:b/>
          <w:sz w:val="20"/>
          <w:szCs w:val="20"/>
          <w:lang w:val="en-GB"/>
        </w:rPr>
        <w:t>2</w:t>
      </w:r>
      <w:r w:rsidRPr="00ED6CC7">
        <w:rPr>
          <w:b/>
          <w:sz w:val="20"/>
          <w:szCs w:val="20"/>
          <w:lang w:val="en-GB"/>
        </w:rPr>
        <w:t>:</w:t>
      </w:r>
      <w:r>
        <w:rPr>
          <w:b/>
          <w:sz w:val="20"/>
          <w:szCs w:val="20"/>
          <w:lang w:val="en-GB"/>
        </w:rPr>
        <w:t xml:space="preserve"> </w:t>
      </w:r>
      <w:r w:rsidR="008C1965">
        <w:rPr>
          <w:b/>
          <w:color w:val="000000" w:themeColor="text1"/>
          <w:sz w:val="20"/>
          <w:szCs w:val="20"/>
          <w:lang w:val="en-GB"/>
        </w:rPr>
        <w:t xml:space="preserve">Baseline </w:t>
      </w:r>
      <w:r>
        <w:rPr>
          <w:b/>
          <w:color w:val="000000" w:themeColor="text1"/>
          <w:sz w:val="20"/>
          <w:szCs w:val="20"/>
          <w:lang w:val="en-GB"/>
        </w:rPr>
        <w:t>case with RedCap initial UL/DL BWP#0 at the edge of the carrier</w:t>
      </w:r>
      <w:r w:rsidR="00A77158">
        <w:rPr>
          <w:b/>
          <w:color w:val="000000" w:themeColor="text1"/>
          <w:sz w:val="20"/>
          <w:szCs w:val="20"/>
          <w:lang w:val="en-GB"/>
        </w:rPr>
        <w:t xml:space="preserve"> (Figure 2)</w:t>
      </w:r>
    </w:p>
    <w:p w14:paraId="4348AE49" w14:textId="664C8617" w:rsidR="003F724B" w:rsidRPr="003F724B" w:rsidRDefault="003F724B" w:rsidP="003F75C1">
      <w:pPr>
        <w:spacing w:before="180"/>
        <w:jc w:val="both"/>
        <w:rPr>
          <w:color w:val="000000" w:themeColor="text1"/>
          <w:sz w:val="20"/>
          <w:szCs w:val="20"/>
        </w:rPr>
      </w:pPr>
      <w:r w:rsidRPr="003F724B">
        <w:rPr>
          <w:color w:val="000000" w:themeColor="text1"/>
          <w:sz w:val="20"/>
          <w:szCs w:val="20"/>
        </w:rPr>
        <w:t>An alternat</w:t>
      </w:r>
      <w:r w:rsidR="0088537E">
        <w:rPr>
          <w:color w:val="000000" w:themeColor="text1"/>
          <w:sz w:val="20"/>
          <w:szCs w:val="20"/>
        </w:rPr>
        <w:t xml:space="preserve">ive approach is to have the </w:t>
      </w:r>
      <w:r w:rsidR="0088537E" w:rsidRPr="00CD35D7">
        <w:rPr>
          <w:i/>
          <w:color w:val="000000" w:themeColor="text1"/>
          <w:sz w:val="20"/>
          <w:szCs w:val="20"/>
        </w:rPr>
        <w:t>MIB-defined</w:t>
      </w:r>
      <w:r w:rsidR="0088537E">
        <w:rPr>
          <w:color w:val="000000" w:themeColor="text1"/>
          <w:sz w:val="20"/>
          <w:szCs w:val="20"/>
        </w:rPr>
        <w:t xml:space="preserve"> initial DL </w:t>
      </w:r>
      <w:r w:rsidRPr="003F724B">
        <w:rPr>
          <w:color w:val="000000" w:themeColor="text1"/>
          <w:sz w:val="20"/>
          <w:szCs w:val="20"/>
        </w:rPr>
        <w:t>BWP (</w:t>
      </w:r>
      <w:r w:rsidR="00555A08">
        <w:rPr>
          <w:color w:val="000000" w:themeColor="text1"/>
          <w:sz w:val="20"/>
          <w:szCs w:val="20"/>
        </w:rPr>
        <w:t xml:space="preserve">shared by </w:t>
      </w:r>
      <w:r w:rsidRPr="003F724B">
        <w:rPr>
          <w:color w:val="000000" w:themeColor="text1"/>
          <w:sz w:val="20"/>
          <w:szCs w:val="20"/>
        </w:rPr>
        <w:t xml:space="preserve">RedCap &amp; non-RedCap UEs) at the </w:t>
      </w:r>
      <w:r w:rsidRPr="00CD35D7">
        <w:rPr>
          <w:i/>
          <w:color w:val="000000" w:themeColor="text1"/>
          <w:sz w:val="20"/>
          <w:szCs w:val="20"/>
        </w:rPr>
        <w:t>edge</w:t>
      </w:r>
      <w:r w:rsidRPr="003F724B">
        <w:rPr>
          <w:color w:val="000000" w:themeColor="text1"/>
          <w:sz w:val="20"/>
          <w:szCs w:val="20"/>
        </w:rPr>
        <w:t xml:space="preserve"> of the carrier. This </w:t>
      </w:r>
      <w:r w:rsidR="00555A08">
        <w:rPr>
          <w:color w:val="000000" w:themeColor="text1"/>
          <w:sz w:val="20"/>
          <w:szCs w:val="20"/>
        </w:rPr>
        <w:t>is necessary to configure</w:t>
      </w:r>
      <w:r w:rsidR="002E34E7">
        <w:rPr>
          <w:color w:val="000000" w:themeColor="text1"/>
          <w:sz w:val="20"/>
          <w:szCs w:val="20"/>
        </w:rPr>
        <w:t xml:space="preserve"> UL BWP for RedCap UE at</w:t>
      </w:r>
      <w:r w:rsidRPr="003F724B">
        <w:rPr>
          <w:color w:val="000000" w:themeColor="text1"/>
          <w:sz w:val="20"/>
          <w:szCs w:val="20"/>
        </w:rPr>
        <w:t xml:space="preserve"> the edge</w:t>
      </w:r>
      <w:r w:rsidR="002E34E7">
        <w:rPr>
          <w:color w:val="000000" w:themeColor="text1"/>
          <w:sz w:val="20"/>
          <w:szCs w:val="20"/>
        </w:rPr>
        <w:t xml:space="preserve"> of the carrier</w:t>
      </w:r>
      <w:r w:rsidRPr="003F724B">
        <w:rPr>
          <w:color w:val="000000" w:themeColor="text1"/>
          <w:sz w:val="20"/>
          <w:szCs w:val="20"/>
        </w:rPr>
        <w:t xml:space="preserve"> as well.</w:t>
      </w:r>
    </w:p>
    <w:p w14:paraId="46CC176A" w14:textId="07611BB9" w:rsidR="003F724B" w:rsidRPr="003F724B" w:rsidRDefault="00FE498E" w:rsidP="003F75C1">
      <w:pPr>
        <w:numPr>
          <w:ilvl w:val="0"/>
          <w:numId w:val="15"/>
        </w:numPr>
        <w:spacing w:before="120"/>
        <w:ind w:left="284" w:hanging="284"/>
        <w:jc w:val="both"/>
        <w:textAlignment w:val="center"/>
        <w:rPr>
          <w:color w:val="000000" w:themeColor="text1"/>
          <w:sz w:val="20"/>
          <w:szCs w:val="20"/>
        </w:rPr>
      </w:pPr>
      <w:r>
        <w:rPr>
          <w:color w:val="000000" w:themeColor="text1"/>
          <w:sz w:val="20"/>
          <w:szCs w:val="20"/>
        </w:rPr>
        <w:t>Having the RedCap initial UL BWP</w:t>
      </w:r>
      <w:r w:rsidR="00DC20D8">
        <w:rPr>
          <w:color w:val="000000" w:themeColor="text1"/>
          <w:sz w:val="20"/>
          <w:szCs w:val="20"/>
        </w:rPr>
        <w:t xml:space="preserve"> on the edge </w:t>
      </w:r>
      <w:r w:rsidR="002F0B60">
        <w:rPr>
          <w:color w:val="000000" w:themeColor="text1"/>
          <w:sz w:val="20"/>
          <w:szCs w:val="20"/>
        </w:rPr>
        <w:t xml:space="preserve">eliminate </w:t>
      </w:r>
      <w:r w:rsidR="00457114">
        <w:rPr>
          <w:color w:val="000000" w:themeColor="text1"/>
          <w:sz w:val="20"/>
          <w:szCs w:val="20"/>
        </w:rPr>
        <w:t>the PUSCH fragmentation issue</w:t>
      </w:r>
      <w:r>
        <w:rPr>
          <w:color w:val="000000" w:themeColor="text1"/>
          <w:sz w:val="20"/>
          <w:szCs w:val="20"/>
        </w:rPr>
        <w:t>.</w:t>
      </w:r>
      <w:r w:rsidR="00457114">
        <w:rPr>
          <w:color w:val="000000" w:themeColor="text1"/>
          <w:sz w:val="20"/>
          <w:szCs w:val="20"/>
        </w:rPr>
        <w:t xml:space="preserve"> </w:t>
      </w:r>
      <w:r>
        <w:rPr>
          <w:color w:val="000000" w:themeColor="text1"/>
          <w:sz w:val="20"/>
          <w:szCs w:val="20"/>
        </w:rPr>
        <w:t>In fact, this option allows e</w:t>
      </w:r>
      <w:r w:rsidR="0092544F">
        <w:rPr>
          <w:color w:val="000000" w:themeColor="text1"/>
          <w:sz w:val="20"/>
          <w:szCs w:val="20"/>
        </w:rPr>
        <w:t>liminat</w:t>
      </w:r>
      <w:r>
        <w:rPr>
          <w:color w:val="000000" w:themeColor="text1"/>
          <w:sz w:val="20"/>
          <w:szCs w:val="20"/>
        </w:rPr>
        <w:t>ing</w:t>
      </w:r>
      <w:r w:rsidR="0092544F">
        <w:rPr>
          <w:color w:val="000000" w:themeColor="text1"/>
          <w:sz w:val="20"/>
          <w:szCs w:val="20"/>
        </w:rPr>
        <w:t xml:space="preserve"> the</w:t>
      </w:r>
      <w:r w:rsidR="003F724B" w:rsidRPr="003F724B">
        <w:rPr>
          <w:color w:val="000000" w:themeColor="text1"/>
          <w:sz w:val="20"/>
          <w:szCs w:val="20"/>
        </w:rPr>
        <w:t xml:space="preserve"> PUSCH fragmentation for non-RedCap UEs</w:t>
      </w:r>
      <w:r w:rsidR="009E7C9E">
        <w:rPr>
          <w:color w:val="000000" w:themeColor="text1"/>
          <w:sz w:val="20"/>
          <w:szCs w:val="20"/>
        </w:rPr>
        <w:t xml:space="preserve"> completely, provided that RedCap Msg4</w:t>
      </w:r>
      <w:r w:rsidR="00247591">
        <w:rPr>
          <w:color w:val="000000" w:themeColor="text1"/>
          <w:sz w:val="20"/>
          <w:szCs w:val="20"/>
        </w:rPr>
        <w:t xml:space="preserve">-HARQ </w:t>
      </w:r>
      <w:r w:rsidR="009E7C9E">
        <w:rPr>
          <w:color w:val="000000" w:themeColor="text1"/>
          <w:sz w:val="20"/>
          <w:szCs w:val="20"/>
        </w:rPr>
        <w:t>PUCCH</w:t>
      </w:r>
      <w:r w:rsidR="00247591">
        <w:rPr>
          <w:color w:val="000000" w:themeColor="text1"/>
          <w:sz w:val="20"/>
          <w:szCs w:val="20"/>
        </w:rPr>
        <w:t xml:space="preserve"> frequency-hopping</w:t>
      </w:r>
      <w:r w:rsidR="009E7C9E">
        <w:rPr>
          <w:color w:val="000000" w:themeColor="text1"/>
          <w:sz w:val="20"/>
          <w:szCs w:val="20"/>
        </w:rPr>
        <w:t xml:space="preserve"> is disabled. As already pointed out, </w:t>
      </w:r>
      <w:r w:rsidR="00247591">
        <w:rPr>
          <w:color w:val="000000" w:themeColor="text1"/>
          <w:sz w:val="20"/>
          <w:szCs w:val="20"/>
        </w:rPr>
        <w:t xml:space="preserve">FH disabling </w:t>
      </w:r>
      <w:r w:rsidR="009E7C9E">
        <w:rPr>
          <w:color w:val="000000" w:themeColor="text1"/>
          <w:sz w:val="20"/>
          <w:szCs w:val="20"/>
        </w:rPr>
        <w:t>is now supported by the agreements and does not involve any significant drawback.</w:t>
      </w:r>
    </w:p>
    <w:p w14:paraId="1F1A9AFD" w14:textId="6B8D96B8" w:rsidR="006A3BCF" w:rsidRDefault="00ED5052" w:rsidP="006A3BCF">
      <w:pPr>
        <w:numPr>
          <w:ilvl w:val="0"/>
          <w:numId w:val="15"/>
        </w:numPr>
        <w:spacing w:before="120"/>
        <w:ind w:left="284" w:hanging="284"/>
        <w:jc w:val="both"/>
        <w:textAlignment w:val="center"/>
        <w:rPr>
          <w:color w:val="000000" w:themeColor="text1"/>
          <w:sz w:val="20"/>
          <w:szCs w:val="20"/>
        </w:rPr>
      </w:pPr>
      <w:r>
        <w:rPr>
          <w:color w:val="000000" w:themeColor="text1"/>
          <w:sz w:val="20"/>
          <w:szCs w:val="20"/>
        </w:rPr>
        <w:t xml:space="preserve">This option, too, avoids </w:t>
      </w:r>
      <w:r w:rsidR="003F724B" w:rsidRPr="003F724B">
        <w:rPr>
          <w:color w:val="000000" w:themeColor="text1"/>
          <w:sz w:val="20"/>
          <w:szCs w:val="20"/>
        </w:rPr>
        <w:t xml:space="preserve">retuning between </w:t>
      </w:r>
      <w:r w:rsidR="0089500C">
        <w:rPr>
          <w:color w:val="000000" w:themeColor="text1"/>
          <w:sz w:val="20"/>
          <w:szCs w:val="20"/>
        </w:rPr>
        <w:t xml:space="preserve">DL and UL </w:t>
      </w:r>
      <w:r>
        <w:rPr>
          <w:color w:val="000000" w:themeColor="text1"/>
          <w:sz w:val="20"/>
          <w:szCs w:val="20"/>
        </w:rPr>
        <w:t xml:space="preserve">BWPs </w:t>
      </w:r>
      <w:r w:rsidR="003F724B" w:rsidRPr="003F724B">
        <w:rPr>
          <w:color w:val="000000" w:themeColor="text1"/>
          <w:sz w:val="20"/>
          <w:szCs w:val="20"/>
        </w:rPr>
        <w:t>for RedCap UEs</w:t>
      </w:r>
      <w:r>
        <w:rPr>
          <w:color w:val="000000" w:themeColor="text1"/>
          <w:sz w:val="20"/>
          <w:szCs w:val="20"/>
        </w:rPr>
        <w:t xml:space="preserve"> in TDD</w:t>
      </w:r>
      <w:r w:rsidR="003F724B" w:rsidRPr="003F724B">
        <w:rPr>
          <w:color w:val="000000" w:themeColor="text1"/>
          <w:sz w:val="20"/>
          <w:szCs w:val="20"/>
        </w:rPr>
        <w:t>.</w:t>
      </w:r>
    </w:p>
    <w:p w14:paraId="31DBEECE" w14:textId="337138B0" w:rsidR="006A3BCF" w:rsidRPr="006A3BCF" w:rsidRDefault="00247591" w:rsidP="006A3BCF">
      <w:pPr>
        <w:numPr>
          <w:ilvl w:val="0"/>
          <w:numId w:val="15"/>
        </w:numPr>
        <w:spacing w:before="120"/>
        <w:ind w:left="284" w:hanging="284"/>
        <w:jc w:val="both"/>
        <w:textAlignment w:val="center"/>
        <w:rPr>
          <w:color w:val="000000" w:themeColor="text1"/>
          <w:sz w:val="20"/>
          <w:szCs w:val="20"/>
        </w:rPr>
      </w:pPr>
      <w:r>
        <w:rPr>
          <w:color w:val="000000" w:themeColor="text1"/>
          <w:sz w:val="20"/>
          <w:szCs w:val="20"/>
        </w:rPr>
        <w:t>O</w:t>
      </w:r>
      <w:r w:rsidR="006A3BCF">
        <w:rPr>
          <w:color w:val="000000" w:themeColor="text1"/>
          <w:sz w:val="20"/>
          <w:szCs w:val="20"/>
        </w:rPr>
        <w:t xml:space="preserve">ffloading of non-RedCap UE </w:t>
      </w:r>
      <w:r>
        <w:rPr>
          <w:color w:val="000000" w:themeColor="text1"/>
          <w:sz w:val="20"/>
          <w:szCs w:val="20"/>
        </w:rPr>
        <w:t xml:space="preserve">connected mode </w:t>
      </w:r>
      <w:r w:rsidR="006A3BCF">
        <w:rPr>
          <w:color w:val="000000" w:themeColor="text1"/>
          <w:sz w:val="20"/>
          <w:szCs w:val="20"/>
        </w:rPr>
        <w:t xml:space="preserve">traffic is allowed by the wider initial DL BWP. </w:t>
      </w:r>
    </w:p>
    <w:p w14:paraId="6971D368" w14:textId="77777777" w:rsidR="00247591" w:rsidRPr="00980A5C" w:rsidRDefault="00247591" w:rsidP="00980A5C">
      <w:pPr>
        <w:spacing w:before="180"/>
        <w:jc w:val="both"/>
        <w:rPr>
          <w:b/>
          <w:i/>
          <w:sz w:val="20"/>
          <w:szCs w:val="20"/>
          <w:lang w:val="en-GB"/>
        </w:rPr>
      </w:pPr>
      <w:r w:rsidRPr="00980A5C">
        <w:rPr>
          <w:b/>
          <w:i/>
          <w:sz w:val="20"/>
          <w:szCs w:val="20"/>
          <w:lang w:val="en-GB"/>
        </w:rPr>
        <w:lastRenderedPageBreak/>
        <w:t>Observation 1: The current agreements allow alleviating the issue of PUSCH fragmentation for non-RedCap UEs, while also meeting the constraint of having the same centre frequency between UL and DL BWPs in TDD.</w:t>
      </w:r>
    </w:p>
    <w:p w14:paraId="6C5DE4F3" w14:textId="77777777" w:rsidR="00CF1FE3" w:rsidRDefault="00CF1FE3" w:rsidP="00CF1FE3">
      <w:pPr>
        <w:spacing w:before="180"/>
        <w:jc w:val="center"/>
        <w:rPr>
          <w:b/>
          <w:color w:val="000000" w:themeColor="text1"/>
          <w:sz w:val="20"/>
          <w:szCs w:val="20"/>
          <w:lang w:val="en-GB"/>
        </w:rPr>
      </w:pPr>
      <w:r w:rsidRPr="009735B9">
        <w:rPr>
          <w:noProof/>
        </w:rPr>
        <w:drawing>
          <wp:inline distT="0" distB="0" distL="0" distR="0" wp14:anchorId="7EEDB884" wp14:editId="00CC948C">
            <wp:extent cx="6122035" cy="139747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2035" cy="1397471"/>
                    </a:xfrm>
                    <a:prstGeom prst="rect">
                      <a:avLst/>
                    </a:prstGeom>
                    <a:noFill/>
                    <a:ln>
                      <a:noFill/>
                    </a:ln>
                  </pic:spPr>
                </pic:pic>
              </a:graphicData>
            </a:graphic>
          </wp:inline>
        </w:drawing>
      </w:r>
    </w:p>
    <w:p w14:paraId="6925315D" w14:textId="77777777" w:rsidR="00CF1FE3" w:rsidRDefault="00CF1FE3" w:rsidP="00CF1FE3">
      <w:pPr>
        <w:spacing w:before="180" w:after="360"/>
        <w:jc w:val="center"/>
        <w:rPr>
          <w:b/>
          <w:color w:val="000000" w:themeColor="text1"/>
          <w:sz w:val="20"/>
          <w:szCs w:val="20"/>
          <w:lang w:val="en-GB"/>
        </w:rPr>
      </w:pPr>
      <w:r>
        <w:rPr>
          <w:b/>
          <w:color w:val="000000" w:themeColor="text1"/>
          <w:sz w:val="20"/>
          <w:szCs w:val="20"/>
          <w:lang w:val="en-GB"/>
        </w:rPr>
        <w:t>Figure 1. (Option-1) Baseline case with RedCap initial UL/DL BWP#0 at the centre of the carrier (TDD)</w:t>
      </w:r>
    </w:p>
    <w:p w14:paraId="52E3BCFD" w14:textId="77777777" w:rsidR="00CF1FE3" w:rsidRDefault="00CF1FE3" w:rsidP="00CF1FE3">
      <w:pPr>
        <w:spacing w:before="180"/>
        <w:jc w:val="center"/>
        <w:rPr>
          <w:b/>
          <w:color w:val="000000" w:themeColor="text1"/>
          <w:sz w:val="20"/>
          <w:szCs w:val="20"/>
          <w:lang w:val="en-GB"/>
        </w:rPr>
      </w:pPr>
      <w:r w:rsidRPr="00D30A18">
        <w:rPr>
          <w:noProof/>
        </w:rPr>
        <w:drawing>
          <wp:inline distT="0" distB="0" distL="0" distR="0" wp14:anchorId="436B6440" wp14:editId="09F1B73B">
            <wp:extent cx="6122035" cy="13741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2035" cy="1374140"/>
                    </a:xfrm>
                    <a:prstGeom prst="rect">
                      <a:avLst/>
                    </a:prstGeom>
                    <a:noFill/>
                    <a:ln>
                      <a:noFill/>
                    </a:ln>
                  </pic:spPr>
                </pic:pic>
              </a:graphicData>
            </a:graphic>
          </wp:inline>
        </w:drawing>
      </w:r>
    </w:p>
    <w:p w14:paraId="05D60796" w14:textId="77777777" w:rsidR="00CF1FE3" w:rsidRDefault="00CF1FE3" w:rsidP="00CF1FE3">
      <w:pPr>
        <w:spacing w:before="180" w:after="360"/>
        <w:jc w:val="center"/>
        <w:rPr>
          <w:b/>
          <w:color w:val="000000" w:themeColor="text1"/>
          <w:sz w:val="20"/>
          <w:szCs w:val="20"/>
          <w:lang w:val="en-GB"/>
        </w:rPr>
      </w:pPr>
      <w:r>
        <w:rPr>
          <w:b/>
          <w:color w:val="000000" w:themeColor="text1"/>
          <w:sz w:val="20"/>
          <w:szCs w:val="20"/>
          <w:lang w:val="en-GB"/>
        </w:rPr>
        <w:t>Figure 2. (Option-2) Baseline case with RedCap initial UL/DL BWP#0 at the edge of the carrier (TDD)</w:t>
      </w:r>
    </w:p>
    <w:p w14:paraId="7DDCE0D2" w14:textId="5827A102" w:rsidR="00247591" w:rsidRPr="00980A5C" w:rsidRDefault="00247591" w:rsidP="00766D33">
      <w:pPr>
        <w:spacing w:before="180"/>
        <w:jc w:val="both"/>
        <w:rPr>
          <w:sz w:val="20"/>
          <w:szCs w:val="20"/>
          <w:lang w:val="en-GB"/>
        </w:rPr>
      </w:pPr>
      <w:r w:rsidRPr="00980A5C">
        <w:rPr>
          <w:sz w:val="20"/>
          <w:szCs w:val="20"/>
          <w:lang w:val="en-GB"/>
        </w:rPr>
        <w:t xml:space="preserve">If the need for offloading RedCap UEs during/after initial access from the MIB-defined frequency range and CORESET#0 is justified then the following option </w:t>
      </w:r>
      <w:r w:rsidR="008C1965">
        <w:rPr>
          <w:sz w:val="20"/>
          <w:szCs w:val="20"/>
          <w:lang w:val="en-GB"/>
        </w:rPr>
        <w:t>can</w:t>
      </w:r>
      <w:r w:rsidR="008C1965" w:rsidRPr="00980A5C">
        <w:rPr>
          <w:sz w:val="20"/>
          <w:szCs w:val="20"/>
          <w:lang w:val="en-GB"/>
        </w:rPr>
        <w:t xml:space="preserve"> </w:t>
      </w:r>
      <w:r w:rsidRPr="00980A5C">
        <w:rPr>
          <w:sz w:val="20"/>
          <w:szCs w:val="20"/>
          <w:lang w:val="en-GB"/>
        </w:rPr>
        <w:t>be considered</w:t>
      </w:r>
      <w:r w:rsidR="00CF1FE3" w:rsidRPr="00E5664E">
        <w:rPr>
          <w:sz w:val="20"/>
          <w:szCs w:val="20"/>
          <w:lang w:val="en-GB"/>
        </w:rPr>
        <w:t>.</w:t>
      </w:r>
    </w:p>
    <w:p w14:paraId="361ABCAC" w14:textId="17FA2A7D" w:rsidR="00766D33" w:rsidRDefault="00766D33" w:rsidP="00766D33">
      <w:pPr>
        <w:spacing w:before="180"/>
        <w:jc w:val="both"/>
        <w:rPr>
          <w:b/>
          <w:color w:val="000000" w:themeColor="text1"/>
          <w:sz w:val="20"/>
          <w:szCs w:val="20"/>
          <w:lang w:val="en-GB"/>
        </w:rPr>
      </w:pPr>
      <w:r>
        <w:rPr>
          <w:b/>
          <w:sz w:val="20"/>
          <w:szCs w:val="20"/>
          <w:lang w:val="en-GB"/>
        </w:rPr>
        <w:t>Option-3</w:t>
      </w:r>
      <w:r w:rsidRPr="00ED6CC7">
        <w:rPr>
          <w:b/>
          <w:sz w:val="20"/>
          <w:szCs w:val="20"/>
          <w:lang w:val="en-GB"/>
        </w:rPr>
        <w:t>:</w:t>
      </w:r>
      <w:r>
        <w:rPr>
          <w:b/>
          <w:sz w:val="20"/>
          <w:szCs w:val="20"/>
          <w:lang w:val="en-GB"/>
        </w:rPr>
        <w:t xml:space="preserve"> </w:t>
      </w:r>
      <w:r>
        <w:rPr>
          <w:b/>
          <w:color w:val="000000" w:themeColor="text1"/>
          <w:sz w:val="20"/>
          <w:szCs w:val="20"/>
          <w:lang w:val="en-GB"/>
        </w:rPr>
        <w:t>Separate initial DL BWP for RedCap UE operation after SIB1 reception</w:t>
      </w:r>
      <w:r w:rsidR="00A77158">
        <w:rPr>
          <w:b/>
          <w:color w:val="000000" w:themeColor="text1"/>
          <w:sz w:val="20"/>
          <w:szCs w:val="20"/>
          <w:lang w:val="en-GB"/>
        </w:rPr>
        <w:t xml:space="preserve"> (Figure 3)</w:t>
      </w:r>
    </w:p>
    <w:p w14:paraId="38ABB4A8" w14:textId="74F00D91" w:rsidR="00AF09CC" w:rsidRPr="003F724B" w:rsidRDefault="0089500C" w:rsidP="00980A5C">
      <w:pPr>
        <w:spacing w:before="180"/>
        <w:jc w:val="both"/>
        <w:rPr>
          <w:color w:val="000000" w:themeColor="text1"/>
          <w:sz w:val="20"/>
          <w:szCs w:val="20"/>
        </w:rPr>
      </w:pPr>
      <w:r>
        <w:rPr>
          <w:color w:val="000000" w:themeColor="text1"/>
          <w:sz w:val="20"/>
          <w:szCs w:val="20"/>
        </w:rPr>
        <w:t>The consensus on supporting a s</w:t>
      </w:r>
      <w:r w:rsidR="003F724B" w:rsidRPr="003F724B">
        <w:rPr>
          <w:color w:val="000000" w:themeColor="text1"/>
          <w:sz w:val="20"/>
          <w:szCs w:val="20"/>
        </w:rPr>
        <w:t>eparate</w:t>
      </w:r>
      <w:r>
        <w:rPr>
          <w:color w:val="000000" w:themeColor="text1"/>
          <w:sz w:val="20"/>
          <w:szCs w:val="20"/>
        </w:rPr>
        <w:t xml:space="preserve"> initial DL </w:t>
      </w:r>
      <w:r w:rsidR="003F724B" w:rsidRPr="003F724B">
        <w:rPr>
          <w:color w:val="000000" w:themeColor="text1"/>
          <w:sz w:val="20"/>
          <w:szCs w:val="20"/>
        </w:rPr>
        <w:t>BWP for RedCap UEs via SIB1</w:t>
      </w:r>
      <w:r>
        <w:rPr>
          <w:color w:val="000000" w:themeColor="text1"/>
          <w:sz w:val="20"/>
          <w:szCs w:val="20"/>
        </w:rPr>
        <w:t xml:space="preserve"> is sti</w:t>
      </w:r>
      <w:r w:rsidR="004504A4">
        <w:rPr>
          <w:color w:val="000000" w:themeColor="text1"/>
          <w:sz w:val="20"/>
          <w:szCs w:val="20"/>
        </w:rPr>
        <w:t>l</w:t>
      </w:r>
      <w:r>
        <w:rPr>
          <w:color w:val="000000" w:themeColor="text1"/>
          <w:sz w:val="20"/>
          <w:szCs w:val="20"/>
        </w:rPr>
        <w:t xml:space="preserve">l pending because of the disagreements on the </w:t>
      </w:r>
      <w:r w:rsidR="00362507">
        <w:rPr>
          <w:color w:val="000000" w:themeColor="text1"/>
          <w:sz w:val="20"/>
          <w:szCs w:val="20"/>
        </w:rPr>
        <w:t>mandato</w:t>
      </w:r>
      <w:r>
        <w:rPr>
          <w:color w:val="000000" w:themeColor="text1"/>
          <w:sz w:val="20"/>
          <w:szCs w:val="20"/>
        </w:rPr>
        <w:t>ry configuration requirements for</w:t>
      </w:r>
      <w:r w:rsidR="00362507">
        <w:rPr>
          <w:color w:val="000000" w:themeColor="text1"/>
          <w:sz w:val="20"/>
          <w:szCs w:val="20"/>
        </w:rPr>
        <w:t xml:space="preserve"> non-cell-defining SSB and CSS for RACH/paging/SI.</w:t>
      </w:r>
    </w:p>
    <w:p w14:paraId="11F548BB" w14:textId="2131E71F" w:rsidR="00AF09CC" w:rsidRPr="003F724B" w:rsidRDefault="008761F7" w:rsidP="00AF09CC">
      <w:pPr>
        <w:numPr>
          <w:ilvl w:val="0"/>
          <w:numId w:val="15"/>
        </w:numPr>
        <w:spacing w:before="120"/>
        <w:ind w:left="284" w:hanging="284"/>
        <w:jc w:val="both"/>
        <w:textAlignment w:val="center"/>
        <w:rPr>
          <w:color w:val="000000" w:themeColor="text1"/>
          <w:sz w:val="20"/>
          <w:szCs w:val="20"/>
        </w:rPr>
      </w:pPr>
      <w:r>
        <w:rPr>
          <w:color w:val="000000" w:themeColor="text1"/>
          <w:sz w:val="20"/>
          <w:szCs w:val="20"/>
        </w:rPr>
        <w:t xml:space="preserve">This option offers the possibility of </w:t>
      </w:r>
      <w:r w:rsidR="00AF09CC">
        <w:rPr>
          <w:color w:val="000000" w:themeColor="text1"/>
          <w:sz w:val="20"/>
          <w:szCs w:val="20"/>
        </w:rPr>
        <w:t>offloading RedCap UEs from the MIB-define</w:t>
      </w:r>
      <w:r w:rsidR="0093508F">
        <w:rPr>
          <w:color w:val="000000" w:themeColor="text1"/>
          <w:sz w:val="20"/>
          <w:szCs w:val="20"/>
        </w:rPr>
        <w:t>d initial BWP,</w:t>
      </w:r>
      <w:r w:rsidR="00AF09CC">
        <w:rPr>
          <w:color w:val="000000" w:themeColor="text1"/>
          <w:sz w:val="20"/>
          <w:szCs w:val="20"/>
        </w:rPr>
        <w:t xml:space="preserve"> provided that SSB and CSS for RACH and paging are configured. </w:t>
      </w:r>
      <w:r w:rsidR="00AF09CC" w:rsidRPr="003F724B">
        <w:rPr>
          <w:color w:val="000000" w:themeColor="text1"/>
          <w:sz w:val="20"/>
          <w:szCs w:val="20"/>
        </w:rPr>
        <w:t>BWP operation for RedCap and non-RedCap UEs</w:t>
      </w:r>
      <w:r w:rsidR="0093508F">
        <w:rPr>
          <w:color w:val="000000" w:themeColor="text1"/>
          <w:sz w:val="20"/>
          <w:szCs w:val="20"/>
        </w:rPr>
        <w:t xml:space="preserve"> can be largely decoupled</w:t>
      </w:r>
      <w:r w:rsidR="00AF09CC" w:rsidRPr="003F724B">
        <w:rPr>
          <w:color w:val="000000" w:themeColor="text1"/>
          <w:sz w:val="20"/>
          <w:szCs w:val="20"/>
        </w:rPr>
        <w:t xml:space="preserve">. </w:t>
      </w:r>
    </w:p>
    <w:p w14:paraId="66D2D231" w14:textId="320A1162" w:rsidR="003F724B" w:rsidRPr="00980A5C" w:rsidRDefault="003F724B" w:rsidP="00980A5C">
      <w:pPr>
        <w:numPr>
          <w:ilvl w:val="0"/>
          <w:numId w:val="15"/>
        </w:numPr>
        <w:spacing w:before="120"/>
        <w:ind w:left="284" w:hanging="284"/>
        <w:jc w:val="both"/>
        <w:textAlignment w:val="center"/>
        <w:rPr>
          <w:color w:val="000000" w:themeColor="text1"/>
          <w:sz w:val="20"/>
          <w:szCs w:val="20"/>
        </w:rPr>
      </w:pPr>
      <w:r w:rsidRPr="003F724B">
        <w:rPr>
          <w:color w:val="000000" w:themeColor="text1"/>
          <w:sz w:val="20"/>
          <w:szCs w:val="20"/>
        </w:rPr>
        <w:t xml:space="preserve">The </w:t>
      </w:r>
      <w:r w:rsidRPr="003F724B">
        <w:rPr>
          <w:i/>
          <w:iCs/>
          <w:color w:val="000000" w:themeColor="text1"/>
          <w:sz w:val="20"/>
          <w:szCs w:val="20"/>
        </w:rPr>
        <w:t>PDCCH-ConfigCommon</w:t>
      </w:r>
      <w:r w:rsidRPr="003F724B">
        <w:rPr>
          <w:color w:val="000000" w:themeColor="text1"/>
          <w:sz w:val="20"/>
          <w:szCs w:val="20"/>
        </w:rPr>
        <w:t xml:space="preserve"> configured by MIB and SIB1 </w:t>
      </w:r>
      <w:r w:rsidR="00233C1B">
        <w:rPr>
          <w:color w:val="000000" w:themeColor="text1"/>
          <w:sz w:val="20"/>
          <w:szCs w:val="20"/>
        </w:rPr>
        <w:t>is</w:t>
      </w:r>
      <w:r w:rsidRPr="003F724B">
        <w:rPr>
          <w:color w:val="000000" w:themeColor="text1"/>
          <w:sz w:val="20"/>
          <w:szCs w:val="20"/>
        </w:rPr>
        <w:t xml:space="preserve"> used in RRC-Idle mode to monitor paging.</w:t>
      </w:r>
      <w:r w:rsidR="00247591">
        <w:rPr>
          <w:color w:val="000000" w:themeColor="text1"/>
          <w:sz w:val="20"/>
          <w:szCs w:val="20"/>
        </w:rPr>
        <w:t xml:space="preserve"> Separate </w:t>
      </w:r>
      <w:r w:rsidR="00247591" w:rsidRPr="003F724B">
        <w:rPr>
          <w:i/>
          <w:iCs/>
          <w:color w:val="000000" w:themeColor="text1"/>
          <w:sz w:val="20"/>
          <w:szCs w:val="20"/>
        </w:rPr>
        <w:t>PDCCH-ConfigCommon</w:t>
      </w:r>
      <w:r w:rsidR="00247591">
        <w:rPr>
          <w:iCs/>
          <w:color w:val="000000" w:themeColor="text1"/>
          <w:sz w:val="20"/>
          <w:szCs w:val="20"/>
        </w:rPr>
        <w:t xml:space="preserve"> configurations can be configured for RedCap and non-RedCap UEs by introducing separate signaling in SIB1.</w:t>
      </w:r>
      <w:r w:rsidRPr="003F724B">
        <w:rPr>
          <w:color w:val="000000" w:themeColor="text1"/>
          <w:sz w:val="20"/>
          <w:szCs w:val="20"/>
        </w:rPr>
        <w:t xml:space="preserve"> </w:t>
      </w:r>
      <w:r w:rsidR="005B2A50">
        <w:rPr>
          <w:color w:val="000000" w:themeColor="text1"/>
          <w:sz w:val="20"/>
          <w:szCs w:val="20"/>
        </w:rPr>
        <w:t xml:space="preserve">Configuration of a non-cell-defining SSB </w:t>
      </w:r>
      <w:r w:rsidR="009900BC">
        <w:rPr>
          <w:color w:val="000000" w:themeColor="text1"/>
          <w:sz w:val="20"/>
          <w:szCs w:val="20"/>
        </w:rPr>
        <w:t>should be</w:t>
      </w:r>
      <w:r w:rsidRPr="009900BC">
        <w:rPr>
          <w:color w:val="000000" w:themeColor="text1"/>
          <w:sz w:val="20"/>
          <w:szCs w:val="20"/>
        </w:rPr>
        <w:t xml:space="preserve"> mandated</w:t>
      </w:r>
      <w:r w:rsidR="005B2A50">
        <w:rPr>
          <w:color w:val="000000" w:themeColor="text1"/>
          <w:sz w:val="20"/>
          <w:szCs w:val="20"/>
        </w:rPr>
        <w:t xml:space="preserve"> in the separate initial DL BWP</w:t>
      </w:r>
      <w:r w:rsidRPr="009900BC">
        <w:rPr>
          <w:color w:val="000000" w:themeColor="text1"/>
          <w:sz w:val="20"/>
          <w:szCs w:val="20"/>
        </w:rPr>
        <w:t xml:space="preserve"> to enable synchronization/RLM/RRM without retuning to the MIB-BWP</w:t>
      </w:r>
      <w:r w:rsidR="005B2A50">
        <w:rPr>
          <w:color w:val="000000" w:themeColor="text1"/>
          <w:sz w:val="20"/>
          <w:szCs w:val="20"/>
        </w:rPr>
        <w:t>. T</w:t>
      </w:r>
      <w:r w:rsidRPr="009900BC">
        <w:rPr>
          <w:color w:val="000000" w:themeColor="text1"/>
          <w:sz w:val="20"/>
          <w:szCs w:val="20"/>
        </w:rPr>
        <w:t>his mainly matter</w:t>
      </w:r>
      <w:r w:rsidR="00362507" w:rsidRPr="009900BC">
        <w:rPr>
          <w:color w:val="000000" w:themeColor="text1"/>
          <w:sz w:val="20"/>
          <w:szCs w:val="20"/>
        </w:rPr>
        <w:t>s in idle mode to save power</w:t>
      </w:r>
      <w:r w:rsidR="005B2A50">
        <w:rPr>
          <w:color w:val="000000" w:themeColor="text1"/>
          <w:sz w:val="20"/>
          <w:szCs w:val="20"/>
        </w:rPr>
        <w:t xml:space="preserve"> but also in keeping the UE complexity low</w:t>
      </w:r>
      <w:r w:rsidR="00362507" w:rsidRPr="009900BC">
        <w:rPr>
          <w:color w:val="000000" w:themeColor="text1"/>
          <w:sz w:val="20"/>
          <w:szCs w:val="20"/>
        </w:rPr>
        <w:t>. Although some</w:t>
      </w:r>
      <w:r w:rsidRPr="009900BC">
        <w:rPr>
          <w:color w:val="000000" w:themeColor="text1"/>
          <w:sz w:val="20"/>
          <w:szCs w:val="20"/>
        </w:rPr>
        <w:t xml:space="preserve"> </w:t>
      </w:r>
      <w:r w:rsidR="00362507" w:rsidRPr="009900BC">
        <w:rPr>
          <w:color w:val="000000" w:themeColor="text1"/>
          <w:sz w:val="20"/>
          <w:szCs w:val="20"/>
        </w:rPr>
        <w:t xml:space="preserve">resource </w:t>
      </w:r>
      <w:r w:rsidRPr="009900BC">
        <w:rPr>
          <w:color w:val="000000" w:themeColor="text1"/>
          <w:sz w:val="20"/>
          <w:szCs w:val="20"/>
        </w:rPr>
        <w:t>overhead</w:t>
      </w:r>
      <w:r w:rsidR="00362507" w:rsidRPr="009900BC">
        <w:rPr>
          <w:color w:val="000000" w:themeColor="text1"/>
          <w:sz w:val="20"/>
          <w:szCs w:val="20"/>
        </w:rPr>
        <w:t xml:space="preserve"> is caused</w:t>
      </w:r>
      <w:r w:rsidR="005B2A50">
        <w:rPr>
          <w:color w:val="000000" w:themeColor="text1"/>
          <w:sz w:val="20"/>
          <w:szCs w:val="20"/>
        </w:rPr>
        <w:t xml:space="preserve"> by the non-CD SSB</w:t>
      </w:r>
      <w:r w:rsidRPr="009900BC">
        <w:rPr>
          <w:color w:val="000000" w:themeColor="text1"/>
          <w:sz w:val="20"/>
          <w:szCs w:val="20"/>
        </w:rPr>
        <w:t xml:space="preserve">, it </w:t>
      </w:r>
      <w:r w:rsidR="00362507" w:rsidRPr="009900BC">
        <w:rPr>
          <w:color w:val="000000" w:themeColor="text1"/>
          <w:sz w:val="20"/>
          <w:szCs w:val="20"/>
        </w:rPr>
        <w:t xml:space="preserve">amounts to less than </w:t>
      </w:r>
      <w:r w:rsidRPr="009900BC">
        <w:rPr>
          <w:color w:val="000000" w:themeColor="text1"/>
          <w:sz w:val="20"/>
          <w:szCs w:val="20"/>
        </w:rPr>
        <w:t>1%</w:t>
      </w:r>
      <w:r w:rsidR="00362507" w:rsidRPr="009900BC">
        <w:rPr>
          <w:color w:val="000000" w:themeColor="text1"/>
          <w:sz w:val="20"/>
          <w:szCs w:val="20"/>
        </w:rPr>
        <w:t xml:space="preserve"> of the dow</w:t>
      </w:r>
      <w:r w:rsidR="009900BC">
        <w:rPr>
          <w:color w:val="000000" w:themeColor="text1"/>
          <w:sz w:val="20"/>
          <w:szCs w:val="20"/>
        </w:rPr>
        <w:t xml:space="preserve">nlink even when assuming 20 ms </w:t>
      </w:r>
      <w:r w:rsidR="005B2A50">
        <w:rPr>
          <w:color w:val="000000" w:themeColor="text1"/>
          <w:sz w:val="20"/>
          <w:szCs w:val="20"/>
        </w:rPr>
        <w:t xml:space="preserve">SS </w:t>
      </w:r>
      <w:r w:rsidR="009900BC">
        <w:rPr>
          <w:color w:val="000000" w:themeColor="text1"/>
          <w:sz w:val="20"/>
          <w:szCs w:val="20"/>
        </w:rPr>
        <w:t>burst</w:t>
      </w:r>
      <w:r w:rsidR="00362507" w:rsidRPr="009900BC">
        <w:rPr>
          <w:color w:val="000000" w:themeColor="text1"/>
          <w:sz w:val="20"/>
          <w:szCs w:val="20"/>
        </w:rPr>
        <w:t xml:space="preserve"> period</w:t>
      </w:r>
      <w:r w:rsidRPr="009900BC">
        <w:rPr>
          <w:color w:val="000000" w:themeColor="text1"/>
          <w:sz w:val="20"/>
          <w:szCs w:val="20"/>
        </w:rPr>
        <w:t>.</w:t>
      </w:r>
      <w:r w:rsidR="005B2A50">
        <w:rPr>
          <w:color w:val="000000" w:themeColor="text1"/>
          <w:sz w:val="20"/>
          <w:szCs w:val="20"/>
        </w:rPr>
        <w:t xml:space="preserve"> The gNB may decide to relax the period.</w:t>
      </w:r>
    </w:p>
    <w:p w14:paraId="2B5FEB27" w14:textId="77777777" w:rsidR="008C1965" w:rsidRDefault="008C1965" w:rsidP="008C1965">
      <w:pPr>
        <w:spacing w:before="240"/>
        <w:jc w:val="center"/>
        <w:rPr>
          <w:b/>
          <w:color w:val="000000" w:themeColor="text1"/>
          <w:sz w:val="20"/>
          <w:szCs w:val="20"/>
          <w:lang w:val="en-GB"/>
        </w:rPr>
      </w:pPr>
      <w:r w:rsidRPr="00D30A18">
        <w:rPr>
          <w:noProof/>
        </w:rPr>
        <w:drawing>
          <wp:inline distT="0" distB="0" distL="0" distR="0" wp14:anchorId="677D54A7" wp14:editId="4E256E52">
            <wp:extent cx="6122035" cy="137329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2035" cy="1373296"/>
                    </a:xfrm>
                    <a:prstGeom prst="rect">
                      <a:avLst/>
                    </a:prstGeom>
                    <a:noFill/>
                    <a:ln>
                      <a:noFill/>
                    </a:ln>
                  </pic:spPr>
                </pic:pic>
              </a:graphicData>
            </a:graphic>
          </wp:inline>
        </w:drawing>
      </w:r>
    </w:p>
    <w:p w14:paraId="19CCF91C" w14:textId="77777777" w:rsidR="008C1965" w:rsidRPr="005B2A50" w:rsidRDefault="008C1965" w:rsidP="008C1965">
      <w:pPr>
        <w:spacing w:before="180"/>
        <w:jc w:val="center"/>
        <w:rPr>
          <w:b/>
          <w:color w:val="000000" w:themeColor="text1"/>
          <w:sz w:val="20"/>
          <w:szCs w:val="20"/>
          <w:lang w:val="en-GB"/>
        </w:rPr>
      </w:pPr>
      <w:r>
        <w:rPr>
          <w:b/>
          <w:color w:val="000000" w:themeColor="text1"/>
          <w:sz w:val="20"/>
          <w:szCs w:val="20"/>
          <w:lang w:val="en-GB"/>
        </w:rPr>
        <w:t>Figure 3. (Option-3) Separate initial DL BWP for RedCap UE operation after SIB1 reception (TDD)</w:t>
      </w:r>
    </w:p>
    <w:p w14:paraId="2459FD87" w14:textId="77777777" w:rsidR="008C1965" w:rsidRPr="004E4C8D" w:rsidRDefault="008C1965" w:rsidP="00705EBD">
      <w:pPr>
        <w:spacing w:before="120"/>
        <w:jc w:val="both"/>
        <w:textAlignment w:val="center"/>
        <w:rPr>
          <w:color w:val="000000" w:themeColor="text1"/>
          <w:sz w:val="20"/>
          <w:szCs w:val="20"/>
          <w:lang w:val="en-GB"/>
        </w:rPr>
      </w:pPr>
    </w:p>
    <w:p w14:paraId="3BB0F4BC" w14:textId="7C49D4E5" w:rsidR="00705EBD" w:rsidRPr="00F36F96" w:rsidRDefault="00705EBD" w:rsidP="00705EBD">
      <w:pPr>
        <w:spacing w:before="120"/>
        <w:jc w:val="both"/>
        <w:textAlignment w:val="center"/>
        <w:rPr>
          <w:color w:val="000000" w:themeColor="text1"/>
          <w:sz w:val="20"/>
          <w:szCs w:val="20"/>
        </w:rPr>
      </w:pPr>
      <w:r>
        <w:rPr>
          <w:color w:val="000000" w:themeColor="text1"/>
          <w:sz w:val="20"/>
          <w:szCs w:val="20"/>
        </w:rPr>
        <w:lastRenderedPageBreak/>
        <w:t xml:space="preserve">Overall, we conclude that </w:t>
      </w:r>
      <w:r w:rsidR="005B2A50">
        <w:rPr>
          <w:color w:val="000000" w:themeColor="text1"/>
          <w:sz w:val="20"/>
          <w:szCs w:val="20"/>
        </w:rPr>
        <w:t>t</w:t>
      </w:r>
      <w:r w:rsidRPr="00705EBD">
        <w:rPr>
          <w:color w:val="000000" w:themeColor="text1"/>
          <w:sz w:val="20"/>
          <w:szCs w:val="20"/>
        </w:rPr>
        <w:t>he current agreeme</w:t>
      </w:r>
      <w:r w:rsidR="005B2A50">
        <w:rPr>
          <w:color w:val="000000" w:themeColor="text1"/>
          <w:sz w:val="20"/>
          <w:szCs w:val="20"/>
        </w:rPr>
        <w:t>nts allow alleviating the issue</w:t>
      </w:r>
      <w:r w:rsidRPr="00705EBD">
        <w:rPr>
          <w:color w:val="000000" w:themeColor="text1"/>
          <w:sz w:val="20"/>
          <w:szCs w:val="20"/>
        </w:rPr>
        <w:t xml:space="preserve"> </w:t>
      </w:r>
      <w:r w:rsidR="005B2A50">
        <w:rPr>
          <w:color w:val="000000" w:themeColor="text1"/>
          <w:sz w:val="20"/>
          <w:szCs w:val="20"/>
        </w:rPr>
        <w:t>of</w:t>
      </w:r>
      <w:r w:rsidRPr="00705EBD">
        <w:rPr>
          <w:color w:val="000000" w:themeColor="text1"/>
          <w:sz w:val="20"/>
          <w:szCs w:val="20"/>
        </w:rPr>
        <w:t xml:space="preserve"> PUSCH fragmentation, </w:t>
      </w:r>
      <w:r w:rsidR="005B2A50">
        <w:rPr>
          <w:color w:val="000000" w:themeColor="text1"/>
          <w:sz w:val="20"/>
          <w:szCs w:val="20"/>
        </w:rPr>
        <w:t>while also meeting the constraint of having the s</w:t>
      </w:r>
      <w:r w:rsidRPr="00705EBD">
        <w:rPr>
          <w:color w:val="000000" w:themeColor="text1"/>
          <w:sz w:val="20"/>
          <w:szCs w:val="20"/>
        </w:rPr>
        <w:t xml:space="preserve">ame centre frequency between UL and DL </w:t>
      </w:r>
      <w:r w:rsidR="005B2A50">
        <w:rPr>
          <w:color w:val="000000" w:themeColor="text1"/>
          <w:sz w:val="20"/>
          <w:szCs w:val="20"/>
        </w:rPr>
        <w:t xml:space="preserve">BWP-pair </w:t>
      </w:r>
      <w:r w:rsidRPr="00705EBD">
        <w:rPr>
          <w:color w:val="000000" w:themeColor="text1"/>
          <w:sz w:val="20"/>
          <w:szCs w:val="20"/>
        </w:rPr>
        <w:t>in TDD.</w:t>
      </w:r>
      <w:r>
        <w:rPr>
          <w:color w:val="000000" w:themeColor="text1"/>
          <w:sz w:val="20"/>
          <w:szCs w:val="20"/>
        </w:rPr>
        <w:t xml:space="preserve"> </w:t>
      </w:r>
      <w:r w:rsidRPr="00705EBD">
        <w:rPr>
          <w:color w:val="000000" w:themeColor="text1"/>
          <w:sz w:val="20"/>
          <w:szCs w:val="20"/>
        </w:rPr>
        <w:t>Separate initial DL BWP for RedCap UE may only be required for offloading</w:t>
      </w:r>
      <w:r w:rsidR="005B2A50">
        <w:rPr>
          <w:color w:val="000000" w:themeColor="text1"/>
          <w:sz w:val="20"/>
          <w:szCs w:val="20"/>
        </w:rPr>
        <w:t>,</w:t>
      </w:r>
      <w:r w:rsidRPr="00705EBD">
        <w:rPr>
          <w:color w:val="000000" w:themeColor="text1"/>
          <w:sz w:val="20"/>
          <w:szCs w:val="20"/>
        </w:rPr>
        <w:t xml:space="preserve"> if</w:t>
      </w:r>
      <w:r w:rsidR="005B2A50">
        <w:rPr>
          <w:color w:val="000000" w:themeColor="text1"/>
          <w:sz w:val="20"/>
          <w:szCs w:val="20"/>
        </w:rPr>
        <w:t xml:space="preserve"> the latter is</w:t>
      </w:r>
      <w:r w:rsidRPr="00705EBD">
        <w:rPr>
          <w:color w:val="000000" w:themeColor="text1"/>
          <w:sz w:val="20"/>
          <w:szCs w:val="20"/>
        </w:rPr>
        <w:t xml:space="preserve"> necessary.</w:t>
      </w:r>
      <w:r w:rsidR="0043514D">
        <w:rPr>
          <w:color w:val="000000" w:themeColor="text1"/>
          <w:sz w:val="20"/>
          <w:szCs w:val="20"/>
        </w:rPr>
        <w:t xml:space="preserve"> However, the separate initial BWP (if supported) for RedCap UEs would need to be configured with additional non-</w:t>
      </w:r>
      <w:r w:rsidR="005B2A50">
        <w:rPr>
          <w:color w:val="000000" w:themeColor="text1"/>
          <w:sz w:val="20"/>
          <w:szCs w:val="20"/>
        </w:rPr>
        <w:t xml:space="preserve">CD </w:t>
      </w:r>
      <w:r w:rsidR="0043514D">
        <w:rPr>
          <w:color w:val="000000" w:themeColor="text1"/>
          <w:sz w:val="20"/>
          <w:szCs w:val="20"/>
        </w:rPr>
        <w:t>SSB to avoid RF-retuning in idle/inactive mode, which would cause significant increase in power consumption in paging. A</w:t>
      </w:r>
      <w:r w:rsidR="005B2A50">
        <w:rPr>
          <w:color w:val="000000" w:themeColor="text1"/>
          <w:sz w:val="20"/>
          <w:szCs w:val="20"/>
        </w:rPr>
        <w:t>n alternative</w:t>
      </w:r>
      <w:r w:rsidR="0043514D">
        <w:rPr>
          <w:color w:val="000000" w:themeColor="text1"/>
          <w:sz w:val="20"/>
          <w:szCs w:val="20"/>
        </w:rPr>
        <w:t xml:space="preserve"> solution that applies RF-retuning </w:t>
      </w:r>
      <w:r w:rsidR="005B2A50">
        <w:rPr>
          <w:color w:val="000000" w:themeColor="text1"/>
          <w:sz w:val="20"/>
          <w:szCs w:val="20"/>
        </w:rPr>
        <w:t>between SIB1-defined and</w:t>
      </w:r>
      <w:r w:rsidR="0043514D">
        <w:rPr>
          <w:color w:val="000000" w:themeColor="text1"/>
          <w:sz w:val="20"/>
          <w:szCs w:val="20"/>
        </w:rPr>
        <w:t xml:space="preserve"> MIB-defined BWP would be self-defeating. </w:t>
      </w:r>
      <w:r w:rsidR="005B2A50">
        <w:rPr>
          <w:color w:val="000000" w:themeColor="text1"/>
          <w:sz w:val="20"/>
          <w:szCs w:val="20"/>
        </w:rPr>
        <w:t>Therefore, i</w:t>
      </w:r>
      <w:r w:rsidR="0043514D">
        <w:rPr>
          <w:color w:val="000000" w:themeColor="text1"/>
          <w:sz w:val="20"/>
          <w:szCs w:val="20"/>
        </w:rPr>
        <w:t xml:space="preserve">t needs to be agreed that RACH/paging monitoring/SI monitoring is not supported in a BWP that is not configured with the respective CSS. </w:t>
      </w:r>
    </w:p>
    <w:p w14:paraId="664ABE04" w14:textId="275A9C48" w:rsidR="00705EBD" w:rsidRDefault="005871A6" w:rsidP="00D659C5">
      <w:pPr>
        <w:spacing w:before="180"/>
        <w:jc w:val="both"/>
        <w:rPr>
          <w:b/>
          <w:i/>
          <w:sz w:val="20"/>
          <w:szCs w:val="20"/>
          <w:lang w:val="en-GB"/>
        </w:rPr>
      </w:pPr>
      <w:r>
        <w:rPr>
          <w:b/>
          <w:i/>
          <w:sz w:val="20"/>
          <w:szCs w:val="20"/>
          <w:lang w:val="en-GB"/>
        </w:rPr>
        <w:t>Observation</w:t>
      </w:r>
      <w:r w:rsidR="005F3886">
        <w:rPr>
          <w:b/>
          <w:i/>
          <w:sz w:val="20"/>
          <w:szCs w:val="20"/>
          <w:lang w:val="en-GB"/>
        </w:rPr>
        <w:t xml:space="preserve"> 2</w:t>
      </w:r>
      <w:r>
        <w:rPr>
          <w:b/>
          <w:i/>
          <w:sz w:val="20"/>
          <w:szCs w:val="20"/>
          <w:lang w:val="en-GB"/>
        </w:rPr>
        <w:t xml:space="preserve">: </w:t>
      </w:r>
      <w:r w:rsidR="00705EBD">
        <w:rPr>
          <w:b/>
          <w:i/>
          <w:sz w:val="20"/>
          <w:szCs w:val="20"/>
          <w:lang w:val="en-GB"/>
        </w:rPr>
        <w:t xml:space="preserve">Separate initial DL BWP for RedCap UE may only be required for </w:t>
      </w:r>
      <w:r>
        <w:rPr>
          <w:b/>
          <w:i/>
          <w:sz w:val="20"/>
          <w:szCs w:val="20"/>
          <w:lang w:val="en-GB"/>
        </w:rPr>
        <w:t>offloading</w:t>
      </w:r>
      <w:r w:rsidR="005B2A50">
        <w:rPr>
          <w:b/>
          <w:i/>
          <w:sz w:val="20"/>
          <w:szCs w:val="20"/>
          <w:lang w:val="en-GB"/>
        </w:rPr>
        <w:t xml:space="preserve"> (if justified)</w:t>
      </w:r>
      <w:r w:rsidR="00705EBD">
        <w:rPr>
          <w:b/>
          <w:i/>
          <w:sz w:val="20"/>
          <w:szCs w:val="20"/>
          <w:lang w:val="en-GB"/>
        </w:rPr>
        <w:t>.</w:t>
      </w:r>
      <w:r>
        <w:rPr>
          <w:b/>
          <w:i/>
          <w:sz w:val="20"/>
          <w:szCs w:val="20"/>
          <w:lang w:val="en-GB"/>
        </w:rPr>
        <w:t xml:space="preserve"> </w:t>
      </w:r>
    </w:p>
    <w:p w14:paraId="0CD533E1" w14:textId="237704E1" w:rsidR="0043514D" w:rsidRDefault="0043514D" w:rsidP="00D659C5">
      <w:pPr>
        <w:spacing w:before="180"/>
        <w:jc w:val="both"/>
        <w:rPr>
          <w:b/>
          <w:i/>
          <w:color w:val="000000" w:themeColor="text1"/>
          <w:sz w:val="20"/>
          <w:szCs w:val="20"/>
        </w:rPr>
      </w:pPr>
      <w:r>
        <w:rPr>
          <w:b/>
          <w:i/>
          <w:sz w:val="20"/>
          <w:szCs w:val="20"/>
          <w:lang w:val="en-GB"/>
        </w:rPr>
        <w:t>Proposal</w:t>
      </w:r>
      <w:r w:rsidR="005F3886">
        <w:rPr>
          <w:b/>
          <w:i/>
          <w:sz w:val="20"/>
          <w:szCs w:val="20"/>
          <w:lang w:val="en-GB"/>
        </w:rPr>
        <w:t xml:space="preserve"> 1</w:t>
      </w:r>
      <w:r>
        <w:rPr>
          <w:b/>
          <w:i/>
          <w:sz w:val="20"/>
          <w:szCs w:val="20"/>
          <w:lang w:val="en-GB"/>
        </w:rPr>
        <w:t xml:space="preserve">: Additional, non-cell-defining SSB must be configured in the separate initial DL BWP (if supported) for RedCap UEs to allow low UE complexity and </w:t>
      </w:r>
      <w:r w:rsidR="005B2A50">
        <w:rPr>
          <w:b/>
          <w:i/>
          <w:sz w:val="20"/>
          <w:szCs w:val="20"/>
          <w:lang w:val="en-GB"/>
        </w:rPr>
        <w:t xml:space="preserve">to </w:t>
      </w:r>
      <w:r>
        <w:rPr>
          <w:b/>
          <w:i/>
          <w:sz w:val="20"/>
          <w:szCs w:val="20"/>
          <w:lang w:val="en-GB"/>
        </w:rPr>
        <w:t xml:space="preserve">avoid </w:t>
      </w:r>
      <w:r w:rsidRPr="0043514D">
        <w:rPr>
          <w:b/>
          <w:i/>
          <w:color w:val="000000" w:themeColor="text1"/>
          <w:sz w:val="20"/>
          <w:szCs w:val="20"/>
        </w:rPr>
        <w:t>RF-retuning in idle/inactive mode, which would cause significant increase in power consumption in paging</w:t>
      </w:r>
      <w:r w:rsidR="005B2A50">
        <w:rPr>
          <w:b/>
          <w:i/>
          <w:color w:val="000000" w:themeColor="text1"/>
          <w:sz w:val="20"/>
          <w:szCs w:val="20"/>
        </w:rPr>
        <w:t xml:space="preserve"> monitoring</w:t>
      </w:r>
      <w:r>
        <w:rPr>
          <w:b/>
          <w:i/>
          <w:color w:val="000000" w:themeColor="text1"/>
          <w:sz w:val="20"/>
          <w:szCs w:val="20"/>
        </w:rPr>
        <w:t>.</w:t>
      </w:r>
    </w:p>
    <w:p w14:paraId="0E4AA09C" w14:textId="4749B983" w:rsidR="004E7243" w:rsidRDefault="0043514D" w:rsidP="004E7243">
      <w:pPr>
        <w:spacing w:before="180"/>
        <w:jc w:val="both"/>
        <w:rPr>
          <w:b/>
          <w:i/>
          <w:color w:val="5F497A" w:themeColor="accent4" w:themeShade="BF"/>
          <w:sz w:val="20"/>
          <w:szCs w:val="20"/>
          <w:lang w:val="en-GB"/>
        </w:rPr>
      </w:pPr>
      <w:r>
        <w:rPr>
          <w:b/>
          <w:i/>
          <w:color w:val="000000" w:themeColor="text1"/>
          <w:sz w:val="20"/>
          <w:szCs w:val="20"/>
        </w:rPr>
        <w:t>Proposal</w:t>
      </w:r>
      <w:r w:rsidR="008761F7">
        <w:rPr>
          <w:b/>
          <w:i/>
          <w:color w:val="000000" w:themeColor="text1"/>
          <w:sz w:val="20"/>
          <w:szCs w:val="20"/>
        </w:rPr>
        <w:t xml:space="preserve"> </w:t>
      </w:r>
      <w:r w:rsidR="005F3886">
        <w:rPr>
          <w:b/>
          <w:i/>
          <w:color w:val="000000" w:themeColor="text1"/>
          <w:sz w:val="20"/>
          <w:szCs w:val="20"/>
        </w:rPr>
        <w:t>2</w:t>
      </w:r>
      <w:r>
        <w:rPr>
          <w:b/>
          <w:i/>
          <w:color w:val="000000" w:themeColor="text1"/>
          <w:sz w:val="20"/>
          <w:szCs w:val="20"/>
        </w:rPr>
        <w:t xml:space="preserve">: </w:t>
      </w:r>
      <w:r w:rsidRPr="0043514D">
        <w:rPr>
          <w:b/>
          <w:i/>
          <w:color w:val="000000" w:themeColor="text1"/>
          <w:sz w:val="20"/>
          <w:szCs w:val="20"/>
        </w:rPr>
        <w:t>RACH/paging monitoring/SI monitoring is not supported in a BWP that is not configured with the respective CSS.</w:t>
      </w:r>
    </w:p>
    <w:p w14:paraId="2E117DF5" w14:textId="77777777" w:rsidR="00835D7D" w:rsidRPr="00401394" w:rsidRDefault="00835D7D" w:rsidP="00835D7D">
      <w:pPr>
        <w:pStyle w:val="Heading1"/>
        <w:ind w:left="431" w:hanging="431"/>
      </w:pPr>
      <w:r w:rsidRPr="00401394">
        <w:t>Conclusions</w:t>
      </w:r>
    </w:p>
    <w:p w14:paraId="4A3175B3" w14:textId="77777777" w:rsidR="00070043" w:rsidRDefault="00070043" w:rsidP="00306B1D">
      <w:pPr>
        <w:rPr>
          <w:sz w:val="20"/>
          <w:szCs w:val="20"/>
          <w:lang w:eastAsia="zh-CN"/>
        </w:rPr>
      </w:pPr>
      <w:r w:rsidRPr="002270AD">
        <w:rPr>
          <w:sz w:val="20"/>
          <w:szCs w:val="20"/>
          <w:lang w:eastAsia="zh-CN"/>
        </w:rPr>
        <w:t>In this contribution we made the following observations and proposals.</w:t>
      </w:r>
    </w:p>
    <w:p w14:paraId="72107203" w14:textId="3030DF8D" w:rsidR="005B2A50" w:rsidRDefault="005B2A50" w:rsidP="005B2A50">
      <w:pPr>
        <w:spacing w:before="180"/>
        <w:jc w:val="both"/>
        <w:rPr>
          <w:b/>
          <w:i/>
          <w:sz w:val="20"/>
          <w:szCs w:val="20"/>
          <w:lang w:val="en-GB"/>
        </w:rPr>
      </w:pPr>
      <w:r>
        <w:rPr>
          <w:b/>
          <w:i/>
          <w:sz w:val="20"/>
          <w:szCs w:val="20"/>
          <w:lang w:val="en-GB"/>
        </w:rPr>
        <w:t>Observation 1: The current agreements allow alleviating the issue of PUSCH fragmentation for non-RedCap UEs, while also meeting the constraint of having the same centre frequency between UL and DL</w:t>
      </w:r>
      <w:r w:rsidR="008761F7">
        <w:rPr>
          <w:b/>
          <w:i/>
          <w:sz w:val="20"/>
          <w:szCs w:val="20"/>
          <w:lang w:val="en-GB"/>
        </w:rPr>
        <w:t xml:space="preserve"> BWPs</w:t>
      </w:r>
      <w:r>
        <w:rPr>
          <w:b/>
          <w:i/>
          <w:sz w:val="20"/>
          <w:szCs w:val="20"/>
          <w:lang w:val="en-GB"/>
        </w:rPr>
        <w:t xml:space="preserve"> in TDD.</w:t>
      </w:r>
    </w:p>
    <w:p w14:paraId="7BF2CEC1" w14:textId="77777777" w:rsidR="005B2A50" w:rsidRDefault="005B2A50" w:rsidP="005B2A50">
      <w:pPr>
        <w:spacing w:before="180"/>
        <w:jc w:val="both"/>
        <w:rPr>
          <w:b/>
          <w:i/>
          <w:sz w:val="20"/>
          <w:szCs w:val="20"/>
          <w:lang w:val="en-GB"/>
        </w:rPr>
      </w:pPr>
      <w:r>
        <w:rPr>
          <w:b/>
          <w:i/>
          <w:sz w:val="20"/>
          <w:szCs w:val="20"/>
          <w:lang w:val="en-GB"/>
        </w:rPr>
        <w:t xml:space="preserve">Observation 2: Separate initial DL BWP for RedCap UE may only be required for offloading (if justified). </w:t>
      </w:r>
    </w:p>
    <w:p w14:paraId="2CF2B115" w14:textId="77777777" w:rsidR="005B2A50" w:rsidRDefault="005B2A50" w:rsidP="005B2A50">
      <w:pPr>
        <w:spacing w:before="180"/>
        <w:jc w:val="both"/>
        <w:rPr>
          <w:b/>
          <w:i/>
          <w:color w:val="000000" w:themeColor="text1"/>
          <w:sz w:val="20"/>
          <w:szCs w:val="20"/>
        </w:rPr>
      </w:pPr>
      <w:r>
        <w:rPr>
          <w:b/>
          <w:i/>
          <w:sz w:val="20"/>
          <w:szCs w:val="20"/>
          <w:lang w:val="en-GB"/>
        </w:rPr>
        <w:t xml:space="preserve">Proposal 1: Additional, non-cell-defining SSB must be configured in the separate initial DL BWP (if supported) for RedCap UEs to allow low UE complexity and to avoid </w:t>
      </w:r>
      <w:r w:rsidRPr="0043514D">
        <w:rPr>
          <w:b/>
          <w:i/>
          <w:color w:val="000000" w:themeColor="text1"/>
          <w:sz w:val="20"/>
          <w:szCs w:val="20"/>
        </w:rPr>
        <w:t>RF-retuning in idle/inactive mode, which would cause significant increase in power consumption in paging</w:t>
      </w:r>
      <w:r>
        <w:rPr>
          <w:b/>
          <w:i/>
          <w:color w:val="000000" w:themeColor="text1"/>
          <w:sz w:val="20"/>
          <w:szCs w:val="20"/>
        </w:rPr>
        <w:t xml:space="preserve"> monitoring.</w:t>
      </w:r>
    </w:p>
    <w:p w14:paraId="75804CEA" w14:textId="5CD49ED4" w:rsidR="005B2A50" w:rsidRDefault="005B2A50" w:rsidP="005B2A50">
      <w:pPr>
        <w:spacing w:before="180"/>
        <w:jc w:val="both"/>
        <w:rPr>
          <w:b/>
          <w:i/>
          <w:color w:val="000000" w:themeColor="text1"/>
          <w:sz w:val="20"/>
          <w:szCs w:val="20"/>
        </w:rPr>
      </w:pPr>
      <w:r>
        <w:rPr>
          <w:b/>
          <w:i/>
          <w:color w:val="000000" w:themeColor="text1"/>
          <w:sz w:val="20"/>
          <w:szCs w:val="20"/>
        </w:rPr>
        <w:t>Proposal</w:t>
      </w:r>
      <w:r w:rsidR="008761F7">
        <w:rPr>
          <w:b/>
          <w:i/>
          <w:color w:val="000000" w:themeColor="text1"/>
          <w:sz w:val="20"/>
          <w:szCs w:val="20"/>
        </w:rPr>
        <w:t xml:space="preserve"> </w:t>
      </w:r>
      <w:r>
        <w:rPr>
          <w:b/>
          <w:i/>
          <w:color w:val="000000" w:themeColor="text1"/>
          <w:sz w:val="20"/>
          <w:szCs w:val="20"/>
        </w:rPr>
        <w:t xml:space="preserve">2: </w:t>
      </w:r>
      <w:r w:rsidRPr="0043514D">
        <w:rPr>
          <w:b/>
          <w:i/>
          <w:color w:val="000000" w:themeColor="text1"/>
          <w:sz w:val="20"/>
          <w:szCs w:val="20"/>
        </w:rPr>
        <w:t>RACH/paging monitoring/SI monitoring is not supported in a BWP that is not configured with the respective CSS.</w:t>
      </w:r>
    </w:p>
    <w:p w14:paraId="1FE1EA38" w14:textId="34F9B171" w:rsidR="0042651F" w:rsidRPr="00401394" w:rsidRDefault="0042651F" w:rsidP="00306B1D">
      <w:pPr>
        <w:pStyle w:val="Heading1"/>
        <w:ind w:left="431" w:hanging="431"/>
      </w:pPr>
      <w:r w:rsidRPr="00401394">
        <w:t>References</w:t>
      </w:r>
    </w:p>
    <w:p w14:paraId="25B76DB4" w14:textId="67B4B224" w:rsidR="00306B1D" w:rsidRPr="002270AD" w:rsidRDefault="00301585" w:rsidP="00301585">
      <w:pPr>
        <w:numPr>
          <w:ilvl w:val="0"/>
          <w:numId w:val="2"/>
        </w:numPr>
        <w:rPr>
          <w:sz w:val="20"/>
          <w:szCs w:val="20"/>
        </w:rPr>
      </w:pPr>
      <w:bookmarkStart w:id="3" w:name="_Ref40432453"/>
      <w:bookmarkStart w:id="4" w:name="_Ref39750275"/>
      <w:bookmarkStart w:id="5" w:name="_Ref32331821"/>
      <w:bookmarkStart w:id="6" w:name="_Ref37229599"/>
      <w:r w:rsidRPr="002270AD">
        <w:rPr>
          <w:sz w:val="20"/>
          <w:szCs w:val="20"/>
        </w:rPr>
        <w:t xml:space="preserve">RP-193238 </w:t>
      </w:r>
      <w:r w:rsidR="00A76A6B" w:rsidRPr="002270AD">
        <w:rPr>
          <w:sz w:val="20"/>
          <w:szCs w:val="20"/>
        </w:rPr>
        <w:t xml:space="preserve">“New SID on support of reduced capability NR devices”, </w:t>
      </w:r>
      <w:r w:rsidR="005F0177" w:rsidRPr="002270AD">
        <w:rPr>
          <w:sz w:val="20"/>
          <w:szCs w:val="20"/>
        </w:rPr>
        <w:t xml:space="preserve">Ericsson, </w:t>
      </w:r>
      <w:r w:rsidRPr="002270AD">
        <w:rPr>
          <w:sz w:val="20"/>
          <w:szCs w:val="20"/>
        </w:rPr>
        <w:t>RAN#86, December 2019</w:t>
      </w:r>
      <w:bookmarkEnd w:id="3"/>
      <w:r w:rsidRPr="002270AD">
        <w:rPr>
          <w:sz w:val="20"/>
          <w:szCs w:val="20"/>
        </w:rPr>
        <w:t xml:space="preserve"> </w:t>
      </w:r>
      <w:bookmarkEnd w:id="4"/>
    </w:p>
    <w:bookmarkStart w:id="7" w:name="_Ref71549373"/>
    <w:bookmarkStart w:id="8" w:name="_Ref46136565"/>
    <w:bookmarkStart w:id="9" w:name="_Ref65143491"/>
    <w:p w14:paraId="397E5B93" w14:textId="2A51F5D3" w:rsidR="00C33D11" w:rsidRPr="00980A5C" w:rsidRDefault="00734217" w:rsidP="00E5664E">
      <w:pPr>
        <w:numPr>
          <w:ilvl w:val="0"/>
          <w:numId w:val="2"/>
        </w:numPr>
        <w:rPr>
          <w:sz w:val="20"/>
          <w:szCs w:val="20"/>
        </w:rPr>
      </w:pPr>
      <w:r w:rsidRPr="00980A5C">
        <w:rPr>
          <w:sz w:val="20"/>
          <w:szCs w:val="20"/>
        </w:rPr>
        <w:fldChar w:fldCharType="begin"/>
      </w:r>
      <w:r w:rsidRPr="00980A5C">
        <w:rPr>
          <w:sz w:val="20"/>
          <w:szCs w:val="20"/>
        </w:rPr>
        <w:instrText xml:space="preserve"> HYPERLINK "https://www.3gpp.org/ftp/TSG_RAN/TSG_RAN/TSGR_92e/Docs/RP-211574.zip" </w:instrText>
      </w:r>
      <w:r w:rsidRPr="00980A5C">
        <w:rPr>
          <w:sz w:val="20"/>
          <w:szCs w:val="20"/>
        </w:rPr>
        <w:fldChar w:fldCharType="separate"/>
      </w:r>
      <w:r w:rsidRPr="00980A5C">
        <w:rPr>
          <w:sz w:val="20"/>
          <w:szCs w:val="20"/>
        </w:rPr>
        <w:t>RP-211574</w:t>
      </w:r>
      <w:r w:rsidRPr="00980A5C">
        <w:rPr>
          <w:sz w:val="20"/>
          <w:szCs w:val="20"/>
        </w:rPr>
        <w:fldChar w:fldCharType="end"/>
      </w:r>
      <w:r w:rsidRPr="00980A5C">
        <w:rPr>
          <w:sz w:val="20"/>
          <w:szCs w:val="20"/>
        </w:rPr>
        <w:t>, “Revised WID on support of reduced capability NR devices”, Ericsson, 3GPP TSG RAN #92e, June 2021.</w:t>
      </w:r>
      <w:bookmarkEnd w:id="7"/>
      <w:r w:rsidRPr="00980A5C">
        <w:rPr>
          <w:sz w:val="20"/>
          <w:szCs w:val="20"/>
        </w:rPr>
        <w:t xml:space="preserve"> </w:t>
      </w:r>
      <w:bookmarkEnd w:id="8"/>
      <w:bookmarkEnd w:id="9"/>
    </w:p>
    <w:p w14:paraId="41D65ECE" w14:textId="2B8A3003" w:rsidR="009719AC" w:rsidRPr="00CE7D66" w:rsidRDefault="00CE7D66" w:rsidP="00233C1B">
      <w:pPr>
        <w:numPr>
          <w:ilvl w:val="0"/>
          <w:numId w:val="2"/>
        </w:numPr>
        <w:rPr>
          <w:sz w:val="20"/>
          <w:szCs w:val="20"/>
        </w:rPr>
      </w:pPr>
      <w:bookmarkStart w:id="10" w:name="_Ref83900830"/>
      <w:r w:rsidRPr="00CE7D66">
        <w:rPr>
          <w:sz w:val="20"/>
          <w:szCs w:val="20"/>
        </w:rPr>
        <w:t>R1-2106563 “Reduced maximum UE bandwidth for RedCap”, Ericsson, RAN1#106-e, September, 2021</w:t>
      </w:r>
      <w:bookmarkEnd w:id="5"/>
      <w:bookmarkEnd w:id="6"/>
      <w:bookmarkEnd w:id="10"/>
    </w:p>
    <w:sectPr w:rsidR="009719AC" w:rsidRPr="00CE7D66" w:rsidSect="00252EB7">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99D388" w14:textId="77777777" w:rsidR="00B20721" w:rsidRDefault="00B20721">
      <w:r>
        <w:separator/>
      </w:r>
    </w:p>
  </w:endnote>
  <w:endnote w:type="continuationSeparator" w:id="0">
    <w:p w14:paraId="4ED1A40F" w14:textId="77777777" w:rsidR="00B20721" w:rsidRDefault="00B20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ItalicMT">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239785093"/>
      <w:docPartObj>
        <w:docPartGallery w:val="Page Numbers (Bottom of Page)"/>
        <w:docPartUnique/>
      </w:docPartObj>
    </w:sdtPr>
    <w:sdtEndPr>
      <w:rPr>
        <w:noProof/>
      </w:rPr>
    </w:sdtEndPr>
    <w:sdtContent>
      <w:p w14:paraId="7A47DC24" w14:textId="61623478" w:rsidR="00233C1B" w:rsidRDefault="00233C1B">
        <w:pPr>
          <w:pStyle w:val="Footer"/>
        </w:pPr>
        <w:r>
          <w:rPr>
            <w:noProof w:val="0"/>
          </w:rPr>
          <w:fldChar w:fldCharType="begin"/>
        </w:r>
        <w:r>
          <w:instrText xml:space="preserve"> PAGE   \* MERGEFORMAT </w:instrText>
        </w:r>
        <w:r>
          <w:rPr>
            <w:noProof w:val="0"/>
          </w:rPr>
          <w:fldChar w:fldCharType="separate"/>
        </w:r>
        <w:r w:rsidR="004E4C8D">
          <w:t>1</w:t>
        </w:r>
        <w:r>
          <w:fldChar w:fldCharType="end"/>
        </w:r>
      </w:p>
    </w:sdtContent>
  </w:sdt>
  <w:p w14:paraId="10846351" w14:textId="77777777" w:rsidR="00233C1B" w:rsidRDefault="00233C1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952469" w14:textId="77777777" w:rsidR="00B20721" w:rsidRDefault="00B20721">
      <w:r>
        <w:separator/>
      </w:r>
    </w:p>
  </w:footnote>
  <w:footnote w:type="continuationSeparator" w:id="0">
    <w:p w14:paraId="4B29DF35" w14:textId="77777777" w:rsidR="00B20721" w:rsidRDefault="00B207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953BD4"/>
    <w:multiLevelType w:val="multilevel"/>
    <w:tmpl w:val="C3E857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C437271"/>
    <w:multiLevelType w:val="multilevel"/>
    <w:tmpl w:val="4E662E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0A350E6"/>
    <w:multiLevelType w:val="multilevel"/>
    <w:tmpl w:val="9A16D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1DB119E"/>
    <w:multiLevelType w:val="multilevel"/>
    <w:tmpl w:val="2E7CC9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F0B79AC"/>
    <w:multiLevelType w:val="multilevel"/>
    <w:tmpl w:val="2DA8F0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0AB3D1E"/>
    <w:multiLevelType w:val="hybridMultilevel"/>
    <w:tmpl w:val="0EFC4A30"/>
    <w:lvl w:ilvl="0" w:tplc="DC30C1D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EF1CCF"/>
    <w:multiLevelType w:val="multilevel"/>
    <w:tmpl w:val="CBE4710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8" w15:restartNumberingAfterBreak="0">
    <w:nsid w:val="3A603717"/>
    <w:multiLevelType w:val="multilevel"/>
    <w:tmpl w:val="45FAEB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FFB48C4"/>
    <w:multiLevelType w:val="multilevel"/>
    <w:tmpl w:val="ABCE6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5E81B85"/>
    <w:multiLevelType w:val="multilevel"/>
    <w:tmpl w:val="031C9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15:restartNumberingAfterBreak="0">
    <w:nsid w:val="47106360"/>
    <w:multiLevelType w:val="multilevel"/>
    <w:tmpl w:val="3806A1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EA12AC9"/>
    <w:multiLevelType w:val="multilevel"/>
    <w:tmpl w:val="530EAC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731285D"/>
    <w:multiLevelType w:val="hybridMultilevel"/>
    <w:tmpl w:val="435695F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053691"/>
    <w:multiLevelType w:val="multilevel"/>
    <w:tmpl w:val="37FC2A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7211E22"/>
    <w:multiLevelType w:val="hybridMultilevel"/>
    <w:tmpl w:val="43F44E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7394D3B"/>
    <w:multiLevelType w:val="multilevel"/>
    <w:tmpl w:val="332467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1"/>
  </w:num>
  <w:num w:numId="2">
    <w:abstractNumId w:val="1"/>
  </w:num>
  <w:num w:numId="3">
    <w:abstractNumId w:val="2"/>
  </w:num>
  <w:num w:numId="4">
    <w:abstractNumId w:val="16"/>
  </w:num>
  <w:num w:numId="5">
    <w:abstractNumId w:val="14"/>
  </w:num>
  <w:num w:numId="6">
    <w:abstractNumId w:val="10"/>
  </w:num>
  <w:num w:numId="7">
    <w:abstractNumId w:val="9"/>
  </w:num>
  <w:num w:numId="8">
    <w:abstractNumId w:val="5"/>
  </w:num>
  <w:num w:numId="9">
    <w:abstractNumId w:val="17"/>
  </w:num>
  <w:num w:numId="10">
    <w:abstractNumId w:val="6"/>
  </w:num>
  <w:num w:numId="11">
    <w:abstractNumId w:val="15"/>
  </w:num>
  <w:num w:numId="12">
    <w:abstractNumId w:val="3"/>
  </w:num>
  <w:num w:numId="13">
    <w:abstractNumId w:val="18"/>
  </w:num>
  <w:num w:numId="14">
    <w:abstractNumId w:val="4"/>
  </w:num>
  <w:num w:numId="15">
    <w:abstractNumId w:val="0"/>
  </w:num>
  <w:num w:numId="16">
    <w:abstractNumId w:val="8"/>
  </w:num>
  <w:num w:numId="17">
    <w:abstractNumId w:val="7"/>
  </w:num>
  <w:num w:numId="18">
    <w:abstractNumId w:val="12"/>
  </w:num>
  <w:num w:numId="19">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F44"/>
    <w:rsid w:val="00000F80"/>
    <w:rsid w:val="000027EA"/>
    <w:rsid w:val="00002AB3"/>
    <w:rsid w:val="00002CDB"/>
    <w:rsid w:val="00002DC3"/>
    <w:rsid w:val="00003323"/>
    <w:rsid w:val="00004A20"/>
    <w:rsid w:val="00004B5C"/>
    <w:rsid w:val="000054AF"/>
    <w:rsid w:val="000066E8"/>
    <w:rsid w:val="00006812"/>
    <w:rsid w:val="00006A13"/>
    <w:rsid w:val="0000797A"/>
    <w:rsid w:val="00010E5C"/>
    <w:rsid w:val="0001180C"/>
    <w:rsid w:val="00011FDD"/>
    <w:rsid w:val="0001206E"/>
    <w:rsid w:val="000121C0"/>
    <w:rsid w:val="00013D0E"/>
    <w:rsid w:val="0001452F"/>
    <w:rsid w:val="00015178"/>
    <w:rsid w:val="00015793"/>
    <w:rsid w:val="00015873"/>
    <w:rsid w:val="0001604C"/>
    <w:rsid w:val="00017659"/>
    <w:rsid w:val="00017DFF"/>
    <w:rsid w:val="0002017E"/>
    <w:rsid w:val="00020FEE"/>
    <w:rsid w:val="000211CD"/>
    <w:rsid w:val="0002178D"/>
    <w:rsid w:val="0002191D"/>
    <w:rsid w:val="000222CB"/>
    <w:rsid w:val="0002245A"/>
    <w:rsid w:val="00022C0D"/>
    <w:rsid w:val="00022EAD"/>
    <w:rsid w:val="00023021"/>
    <w:rsid w:val="00023569"/>
    <w:rsid w:val="0002426D"/>
    <w:rsid w:val="00025253"/>
    <w:rsid w:val="00025380"/>
    <w:rsid w:val="00025790"/>
    <w:rsid w:val="000257A5"/>
    <w:rsid w:val="00025E0A"/>
    <w:rsid w:val="000266A0"/>
    <w:rsid w:val="00026D86"/>
    <w:rsid w:val="00026F21"/>
    <w:rsid w:val="0002755A"/>
    <w:rsid w:val="0003049F"/>
    <w:rsid w:val="0003050D"/>
    <w:rsid w:val="000306A4"/>
    <w:rsid w:val="00030C96"/>
    <w:rsid w:val="000311E5"/>
    <w:rsid w:val="00031C1D"/>
    <w:rsid w:val="00031EE3"/>
    <w:rsid w:val="00032F6B"/>
    <w:rsid w:val="00033D7A"/>
    <w:rsid w:val="000343F5"/>
    <w:rsid w:val="00034473"/>
    <w:rsid w:val="0003464B"/>
    <w:rsid w:val="000347AF"/>
    <w:rsid w:val="000354C0"/>
    <w:rsid w:val="000357B8"/>
    <w:rsid w:val="0003583D"/>
    <w:rsid w:val="000358B7"/>
    <w:rsid w:val="00035ADC"/>
    <w:rsid w:val="00035C8A"/>
    <w:rsid w:val="0003668E"/>
    <w:rsid w:val="000366C4"/>
    <w:rsid w:val="00036802"/>
    <w:rsid w:val="00036E9D"/>
    <w:rsid w:val="00037B2A"/>
    <w:rsid w:val="00040398"/>
    <w:rsid w:val="00040507"/>
    <w:rsid w:val="00041725"/>
    <w:rsid w:val="00041C77"/>
    <w:rsid w:val="000421CC"/>
    <w:rsid w:val="00042D80"/>
    <w:rsid w:val="00042F3B"/>
    <w:rsid w:val="00043712"/>
    <w:rsid w:val="0004419E"/>
    <w:rsid w:val="00044AD1"/>
    <w:rsid w:val="0004557B"/>
    <w:rsid w:val="0004561E"/>
    <w:rsid w:val="00045BA3"/>
    <w:rsid w:val="000472D9"/>
    <w:rsid w:val="000478B2"/>
    <w:rsid w:val="00047BCC"/>
    <w:rsid w:val="00047DB7"/>
    <w:rsid w:val="00050E75"/>
    <w:rsid w:val="0005104B"/>
    <w:rsid w:val="0005108F"/>
    <w:rsid w:val="00052423"/>
    <w:rsid w:val="00052E01"/>
    <w:rsid w:val="00052EFB"/>
    <w:rsid w:val="00052F55"/>
    <w:rsid w:val="00053591"/>
    <w:rsid w:val="00053BDB"/>
    <w:rsid w:val="00053C5F"/>
    <w:rsid w:val="00054430"/>
    <w:rsid w:val="00054D06"/>
    <w:rsid w:val="00054D57"/>
    <w:rsid w:val="00055201"/>
    <w:rsid w:val="00055861"/>
    <w:rsid w:val="00055EF4"/>
    <w:rsid w:val="00056526"/>
    <w:rsid w:val="00056973"/>
    <w:rsid w:val="00057A17"/>
    <w:rsid w:val="00057DC0"/>
    <w:rsid w:val="00061C85"/>
    <w:rsid w:val="000627E9"/>
    <w:rsid w:val="0006295F"/>
    <w:rsid w:val="00062D60"/>
    <w:rsid w:val="00063B04"/>
    <w:rsid w:val="00064437"/>
    <w:rsid w:val="000646D3"/>
    <w:rsid w:val="00064BCA"/>
    <w:rsid w:val="00064C2D"/>
    <w:rsid w:val="00065840"/>
    <w:rsid w:val="00065844"/>
    <w:rsid w:val="00065A4D"/>
    <w:rsid w:val="00065BE5"/>
    <w:rsid w:val="0006656D"/>
    <w:rsid w:val="0006679E"/>
    <w:rsid w:val="00066B25"/>
    <w:rsid w:val="000671D2"/>
    <w:rsid w:val="000672B2"/>
    <w:rsid w:val="0006733D"/>
    <w:rsid w:val="00067506"/>
    <w:rsid w:val="000675C4"/>
    <w:rsid w:val="00067DD2"/>
    <w:rsid w:val="00070043"/>
    <w:rsid w:val="000709CD"/>
    <w:rsid w:val="00070A5B"/>
    <w:rsid w:val="00070F57"/>
    <w:rsid w:val="00071961"/>
    <w:rsid w:val="000728B9"/>
    <w:rsid w:val="00072D4C"/>
    <w:rsid w:val="00072D50"/>
    <w:rsid w:val="00072EE6"/>
    <w:rsid w:val="00073328"/>
    <w:rsid w:val="00073799"/>
    <w:rsid w:val="000739D1"/>
    <w:rsid w:val="00073F18"/>
    <w:rsid w:val="000743C9"/>
    <w:rsid w:val="00074B8A"/>
    <w:rsid w:val="00074BF1"/>
    <w:rsid w:val="00075A79"/>
    <w:rsid w:val="000763D8"/>
    <w:rsid w:val="00076820"/>
    <w:rsid w:val="00076E64"/>
    <w:rsid w:val="0007700C"/>
    <w:rsid w:val="000774DF"/>
    <w:rsid w:val="00077D62"/>
    <w:rsid w:val="000804BB"/>
    <w:rsid w:val="0008074E"/>
    <w:rsid w:val="00080B3D"/>
    <w:rsid w:val="00082AA4"/>
    <w:rsid w:val="000837A9"/>
    <w:rsid w:val="00083CC1"/>
    <w:rsid w:val="000841A9"/>
    <w:rsid w:val="000868EC"/>
    <w:rsid w:val="0008693B"/>
    <w:rsid w:val="00086F4B"/>
    <w:rsid w:val="0008722F"/>
    <w:rsid w:val="00087287"/>
    <w:rsid w:val="0008738E"/>
    <w:rsid w:val="00087CD6"/>
    <w:rsid w:val="000906BE"/>
    <w:rsid w:val="00091273"/>
    <w:rsid w:val="00091814"/>
    <w:rsid w:val="00091A94"/>
    <w:rsid w:val="000923A1"/>
    <w:rsid w:val="00092661"/>
    <w:rsid w:val="00093B3F"/>
    <w:rsid w:val="00093E7E"/>
    <w:rsid w:val="00094243"/>
    <w:rsid w:val="0009679F"/>
    <w:rsid w:val="00096F03"/>
    <w:rsid w:val="00096FB1"/>
    <w:rsid w:val="0009774B"/>
    <w:rsid w:val="000A02F0"/>
    <w:rsid w:val="000A1450"/>
    <w:rsid w:val="000A1499"/>
    <w:rsid w:val="000A1A1C"/>
    <w:rsid w:val="000A28EE"/>
    <w:rsid w:val="000A2A24"/>
    <w:rsid w:val="000A2BEE"/>
    <w:rsid w:val="000A2E10"/>
    <w:rsid w:val="000A3132"/>
    <w:rsid w:val="000A3AA8"/>
    <w:rsid w:val="000A3CCC"/>
    <w:rsid w:val="000A3DC5"/>
    <w:rsid w:val="000A401B"/>
    <w:rsid w:val="000A4F46"/>
    <w:rsid w:val="000A611F"/>
    <w:rsid w:val="000A6A95"/>
    <w:rsid w:val="000A6D03"/>
    <w:rsid w:val="000A70B6"/>
    <w:rsid w:val="000A75D8"/>
    <w:rsid w:val="000A764D"/>
    <w:rsid w:val="000A7B03"/>
    <w:rsid w:val="000A7C36"/>
    <w:rsid w:val="000B0020"/>
    <w:rsid w:val="000B0083"/>
    <w:rsid w:val="000B0C8A"/>
    <w:rsid w:val="000B167D"/>
    <w:rsid w:val="000B1F1B"/>
    <w:rsid w:val="000B20DA"/>
    <w:rsid w:val="000B25BC"/>
    <w:rsid w:val="000B26DD"/>
    <w:rsid w:val="000B2EF7"/>
    <w:rsid w:val="000B30B6"/>
    <w:rsid w:val="000B3A12"/>
    <w:rsid w:val="000B3C2D"/>
    <w:rsid w:val="000B3E56"/>
    <w:rsid w:val="000B42AC"/>
    <w:rsid w:val="000B4CAE"/>
    <w:rsid w:val="000B5B95"/>
    <w:rsid w:val="000B7B0A"/>
    <w:rsid w:val="000B7EA8"/>
    <w:rsid w:val="000C0E80"/>
    <w:rsid w:val="000C1F2B"/>
    <w:rsid w:val="000C24B3"/>
    <w:rsid w:val="000C284B"/>
    <w:rsid w:val="000C2974"/>
    <w:rsid w:val="000C2A6F"/>
    <w:rsid w:val="000C3373"/>
    <w:rsid w:val="000C43F7"/>
    <w:rsid w:val="000C44A9"/>
    <w:rsid w:val="000C4956"/>
    <w:rsid w:val="000C540C"/>
    <w:rsid w:val="000C5F8B"/>
    <w:rsid w:val="000C65D7"/>
    <w:rsid w:val="000C77C6"/>
    <w:rsid w:val="000C7E1C"/>
    <w:rsid w:val="000D06B4"/>
    <w:rsid w:val="000D0D93"/>
    <w:rsid w:val="000D0EFB"/>
    <w:rsid w:val="000D0F54"/>
    <w:rsid w:val="000D154B"/>
    <w:rsid w:val="000D1E67"/>
    <w:rsid w:val="000D1E9A"/>
    <w:rsid w:val="000D239A"/>
    <w:rsid w:val="000D2E14"/>
    <w:rsid w:val="000D4A37"/>
    <w:rsid w:val="000D54C6"/>
    <w:rsid w:val="000D55F8"/>
    <w:rsid w:val="000D6569"/>
    <w:rsid w:val="000D6CFC"/>
    <w:rsid w:val="000D6E01"/>
    <w:rsid w:val="000D6F15"/>
    <w:rsid w:val="000D7890"/>
    <w:rsid w:val="000D7DB8"/>
    <w:rsid w:val="000D7F67"/>
    <w:rsid w:val="000D7FF4"/>
    <w:rsid w:val="000E005A"/>
    <w:rsid w:val="000E109E"/>
    <w:rsid w:val="000E16EB"/>
    <w:rsid w:val="000E20FC"/>
    <w:rsid w:val="000E2307"/>
    <w:rsid w:val="000E284C"/>
    <w:rsid w:val="000E35EF"/>
    <w:rsid w:val="000E4113"/>
    <w:rsid w:val="000E469E"/>
    <w:rsid w:val="000E4A2D"/>
    <w:rsid w:val="000E4DD3"/>
    <w:rsid w:val="000E51A7"/>
    <w:rsid w:val="000E52C0"/>
    <w:rsid w:val="000E59BE"/>
    <w:rsid w:val="000E6256"/>
    <w:rsid w:val="000E6615"/>
    <w:rsid w:val="000E677B"/>
    <w:rsid w:val="000E698D"/>
    <w:rsid w:val="000E69EA"/>
    <w:rsid w:val="000E6BDF"/>
    <w:rsid w:val="000E7577"/>
    <w:rsid w:val="000E7947"/>
    <w:rsid w:val="000E7CCD"/>
    <w:rsid w:val="000F085D"/>
    <w:rsid w:val="000F2252"/>
    <w:rsid w:val="000F2820"/>
    <w:rsid w:val="000F37FC"/>
    <w:rsid w:val="000F3BFE"/>
    <w:rsid w:val="000F3EA8"/>
    <w:rsid w:val="000F4A92"/>
    <w:rsid w:val="000F4AB5"/>
    <w:rsid w:val="000F577A"/>
    <w:rsid w:val="000F58D1"/>
    <w:rsid w:val="000F6F07"/>
    <w:rsid w:val="000F71CD"/>
    <w:rsid w:val="000F7730"/>
    <w:rsid w:val="000F7EFE"/>
    <w:rsid w:val="001000C3"/>
    <w:rsid w:val="0010037D"/>
    <w:rsid w:val="00100817"/>
    <w:rsid w:val="00100F25"/>
    <w:rsid w:val="001010BC"/>
    <w:rsid w:val="0010125E"/>
    <w:rsid w:val="001012D3"/>
    <w:rsid w:val="00101381"/>
    <w:rsid w:val="00101C1E"/>
    <w:rsid w:val="00101CBE"/>
    <w:rsid w:val="001024B7"/>
    <w:rsid w:val="0010262A"/>
    <w:rsid w:val="00102B1A"/>
    <w:rsid w:val="001033DD"/>
    <w:rsid w:val="001037D8"/>
    <w:rsid w:val="00103BE5"/>
    <w:rsid w:val="001042B4"/>
    <w:rsid w:val="00104784"/>
    <w:rsid w:val="001059EA"/>
    <w:rsid w:val="001062EE"/>
    <w:rsid w:val="00106934"/>
    <w:rsid w:val="00106BED"/>
    <w:rsid w:val="001079E1"/>
    <w:rsid w:val="00107C99"/>
    <w:rsid w:val="00110201"/>
    <w:rsid w:val="001107E2"/>
    <w:rsid w:val="0011112C"/>
    <w:rsid w:val="001114DD"/>
    <w:rsid w:val="001121C6"/>
    <w:rsid w:val="00112480"/>
    <w:rsid w:val="00112BC8"/>
    <w:rsid w:val="00112EBA"/>
    <w:rsid w:val="001130D9"/>
    <w:rsid w:val="001132EE"/>
    <w:rsid w:val="001135BD"/>
    <w:rsid w:val="00113957"/>
    <w:rsid w:val="001142C5"/>
    <w:rsid w:val="00114A5F"/>
    <w:rsid w:val="00115249"/>
    <w:rsid w:val="00115389"/>
    <w:rsid w:val="001154A6"/>
    <w:rsid w:val="001159EB"/>
    <w:rsid w:val="0011625B"/>
    <w:rsid w:val="00116720"/>
    <w:rsid w:val="001168DA"/>
    <w:rsid w:val="00117326"/>
    <w:rsid w:val="001200EA"/>
    <w:rsid w:val="001206F8"/>
    <w:rsid w:val="00120F05"/>
    <w:rsid w:val="00121161"/>
    <w:rsid w:val="001211BC"/>
    <w:rsid w:val="001214AA"/>
    <w:rsid w:val="00121745"/>
    <w:rsid w:val="00121877"/>
    <w:rsid w:val="00121E76"/>
    <w:rsid w:val="00121E7E"/>
    <w:rsid w:val="001226FF"/>
    <w:rsid w:val="001229E6"/>
    <w:rsid w:val="00122A76"/>
    <w:rsid w:val="00122F09"/>
    <w:rsid w:val="00123A02"/>
    <w:rsid w:val="001248D5"/>
    <w:rsid w:val="00125F0D"/>
    <w:rsid w:val="00126E09"/>
    <w:rsid w:val="00126EFE"/>
    <w:rsid w:val="00127382"/>
    <w:rsid w:val="001279D6"/>
    <w:rsid w:val="00127A03"/>
    <w:rsid w:val="00130399"/>
    <w:rsid w:val="00130565"/>
    <w:rsid w:val="0013159B"/>
    <w:rsid w:val="00131A87"/>
    <w:rsid w:val="0013262A"/>
    <w:rsid w:val="00132A1B"/>
    <w:rsid w:val="00132A8F"/>
    <w:rsid w:val="00132BEB"/>
    <w:rsid w:val="00132DA7"/>
    <w:rsid w:val="00133272"/>
    <w:rsid w:val="001347A4"/>
    <w:rsid w:val="001354B3"/>
    <w:rsid w:val="00135703"/>
    <w:rsid w:val="00135986"/>
    <w:rsid w:val="00135ED2"/>
    <w:rsid w:val="00136A4A"/>
    <w:rsid w:val="00137AB3"/>
    <w:rsid w:val="00137B0F"/>
    <w:rsid w:val="0014010C"/>
    <w:rsid w:val="00140527"/>
    <w:rsid w:val="00140635"/>
    <w:rsid w:val="0014085D"/>
    <w:rsid w:val="00140A44"/>
    <w:rsid w:val="001413A9"/>
    <w:rsid w:val="00141893"/>
    <w:rsid w:val="00141DA8"/>
    <w:rsid w:val="00141DB0"/>
    <w:rsid w:val="00141E89"/>
    <w:rsid w:val="00143165"/>
    <w:rsid w:val="00143202"/>
    <w:rsid w:val="00143961"/>
    <w:rsid w:val="00143AEF"/>
    <w:rsid w:val="001441DB"/>
    <w:rsid w:val="0014420A"/>
    <w:rsid w:val="00144695"/>
    <w:rsid w:val="001446AF"/>
    <w:rsid w:val="0014493A"/>
    <w:rsid w:val="00144FB8"/>
    <w:rsid w:val="00145437"/>
    <w:rsid w:val="00147654"/>
    <w:rsid w:val="00147EDF"/>
    <w:rsid w:val="00151AEE"/>
    <w:rsid w:val="00152E12"/>
    <w:rsid w:val="00152E38"/>
    <w:rsid w:val="00152EF4"/>
    <w:rsid w:val="00153181"/>
    <w:rsid w:val="001534BC"/>
    <w:rsid w:val="00153528"/>
    <w:rsid w:val="001535D7"/>
    <w:rsid w:val="00153950"/>
    <w:rsid w:val="001539E5"/>
    <w:rsid w:val="00153E85"/>
    <w:rsid w:val="001541D5"/>
    <w:rsid w:val="00154A79"/>
    <w:rsid w:val="001550AF"/>
    <w:rsid w:val="0015558F"/>
    <w:rsid w:val="0015592C"/>
    <w:rsid w:val="001560E8"/>
    <w:rsid w:val="0015718A"/>
    <w:rsid w:val="00157B8A"/>
    <w:rsid w:val="00157CAC"/>
    <w:rsid w:val="0016072D"/>
    <w:rsid w:val="00161258"/>
    <w:rsid w:val="001612FF"/>
    <w:rsid w:val="00161451"/>
    <w:rsid w:val="001628A1"/>
    <w:rsid w:val="00162DC1"/>
    <w:rsid w:val="0016352B"/>
    <w:rsid w:val="00163612"/>
    <w:rsid w:val="00163735"/>
    <w:rsid w:val="00163D00"/>
    <w:rsid w:val="00164444"/>
    <w:rsid w:val="001652C0"/>
    <w:rsid w:val="001657B6"/>
    <w:rsid w:val="00165864"/>
    <w:rsid w:val="0016596F"/>
    <w:rsid w:val="00165FAA"/>
    <w:rsid w:val="00166531"/>
    <w:rsid w:val="00166885"/>
    <w:rsid w:val="00166E30"/>
    <w:rsid w:val="00167047"/>
    <w:rsid w:val="00167121"/>
    <w:rsid w:val="00167A02"/>
    <w:rsid w:val="001706C5"/>
    <w:rsid w:val="00171466"/>
    <w:rsid w:val="001718CE"/>
    <w:rsid w:val="00172031"/>
    <w:rsid w:val="001726E4"/>
    <w:rsid w:val="001731DE"/>
    <w:rsid w:val="001731E7"/>
    <w:rsid w:val="00173FA0"/>
    <w:rsid w:val="0017415A"/>
    <w:rsid w:val="00174296"/>
    <w:rsid w:val="001748C6"/>
    <w:rsid w:val="00174E67"/>
    <w:rsid w:val="001751AE"/>
    <w:rsid w:val="00175920"/>
    <w:rsid w:val="00175F46"/>
    <w:rsid w:val="00177580"/>
    <w:rsid w:val="00177DC6"/>
    <w:rsid w:val="00181400"/>
    <w:rsid w:val="001821A2"/>
    <w:rsid w:val="0018256B"/>
    <w:rsid w:val="00182971"/>
    <w:rsid w:val="00182B95"/>
    <w:rsid w:val="0018349F"/>
    <w:rsid w:val="00183F73"/>
    <w:rsid w:val="00183FC8"/>
    <w:rsid w:val="001842CE"/>
    <w:rsid w:val="00184711"/>
    <w:rsid w:val="00184787"/>
    <w:rsid w:val="00184E8A"/>
    <w:rsid w:val="00185345"/>
    <w:rsid w:val="00185BFA"/>
    <w:rsid w:val="001868A5"/>
    <w:rsid w:val="00186A63"/>
    <w:rsid w:val="00186BDE"/>
    <w:rsid w:val="00187BEC"/>
    <w:rsid w:val="00190817"/>
    <w:rsid w:val="00190A1A"/>
    <w:rsid w:val="00190A24"/>
    <w:rsid w:val="00190F96"/>
    <w:rsid w:val="001911A9"/>
    <w:rsid w:val="00191A6F"/>
    <w:rsid w:val="00191AD9"/>
    <w:rsid w:val="00192DC8"/>
    <w:rsid w:val="0019315E"/>
    <w:rsid w:val="00193574"/>
    <w:rsid w:val="001936C1"/>
    <w:rsid w:val="001937BB"/>
    <w:rsid w:val="00193F31"/>
    <w:rsid w:val="00194215"/>
    <w:rsid w:val="00194402"/>
    <w:rsid w:val="00194839"/>
    <w:rsid w:val="00194FCC"/>
    <w:rsid w:val="001968B4"/>
    <w:rsid w:val="0019768C"/>
    <w:rsid w:val="00197F29"/>
    <w:rsid w:val="001A08AA"/>
    <w:rsid w:val="001A0AE0"/>
    <w:rsid w:val="001A0F90"/>
    <w:rsid w:val="001A1385"/>
    <w:rsid w:val="001A1542"/>
    <w:rsid w:val="001A2033"/>
    <w:rsid w:val="001A2422"/>
    <w:rsid w:val="001A3437"/>
    <w:rsid w:val="001A4038"/>
    <w:rsid w:val="001A473F"/>
    <w:rsid w:val="001A4C71"/>
    <w:rsid w:val="001A4EA6"/>
    <w:rsid w:val="001A519D"/>
    <w:rsid w:val="001A5339"/>
    <w:rsid w:val="001A54DA"/>
    <w:rsid w:val="001A5826"/>
    <w:rsid w:val="001A5BB3"/>
    <w:rsid w:val="001A6300"/>
    <w:rsid w:val="001A64FA"/>
    <w:rsid w:val="001A6BFE"/>
    <w:rsid w:val="001A6EFB"/>
    <w:rsid w:val="001A7370"/>
    <w:rsid w:val="001A770F"/>
    <w:rsid w:val="001A7CB3"/>
    <w:rsid w:val="001A7E25"/>
    <w:rsid w:val="001B00E4"/>
    <w:rsid w:val="001B0188"/>
    <w:rsid w:val="001B0701"/>
    <w:rsid w:val="001B0B38"/>
    <w:rsid w:val="001B15F8"/>
    <w:rsid w:val="001B2818"/>
    <w:rsid w:val="001B2A42"/>
    <w:rsid w:val="001B2C0B"/>
    <w:rsid w:val="001B2C25"/>
    <w:rsid w:val="001B3564"/>
    <w:rsid w:val="001B3568"/>
    <w:rsid w:val="001B3867"/>
    <w:rsid w:val="001B555E"/>
    <w:rsid w:val="001B55EC"/>
    <w:rsid w:val="001B5ED6"/>
    <w:rsid w:val="001B644B"/>
    <w:rsid w:val="001B6D33"/>
    <w:rsid w:val="001C0D39"/>
    <w:rsid w:val="001C1E15"/>
    <w:rsid w:val="001C2032"/>
    <w:rsid w:val="001C254C"/>
    <w:rsid w:val="001C261F"/>
    <w:rsid w:val="001C2D8E"/>
    <w:rsid w:val="001C2EA0"/>
    <w:rsid w:val="001C355D"/>
    <w:rsid w:val="001C3987"/>
    <w:rsid w:val="001C5A24"/>
    <w:rsid w:val="001C5DDE"/>
    <w:rsid w:val="001C6A53"/>
    <w:rsid w:val="001C7098"/>
    <w:rsid w:val="001C70F9"/>
    <w:rsid w:val="001C774E"/>
    <w:rsid w:val="001D028C"/>
    <w:rsid w:val="001D0389"/>
    <w:rsid w:val="001D0699"/>
    <w:rsid w:val="001D131B"/>
    <w:rsid w:val="001D14C8"/>
    <w:rsid w:val="001D276F"/>
    <w:rsid w:val="001D296F"/>
    <w:rsid w:val="001D3C05"/>
    <w:rsid w:val="001D4628"/>
    <w:rsid w:val="001D46EB"/>
    <w:rsid w:val="001D50EA"/>
    <w:rsid w:val="001D5760"/>
    <w:rsid w:val="001D5BB3"/>
    <w:rsid w:val="001D6054"/>
    <w:rsid w:val="001D62CE"/>
    <w:rsid w:val="001D6423"/>
    <w:rsid w:val="001D70D6"/>
    <w:rsid w:val="001D72E5"/>
    <w:rsid w:val="001D7809"/>
    <w:rsid w:val="001D7C39"/>
    <w:rsid w:val="001D7D29"/>
    <w:rsid w:val="001E0941"/>
    <w:rsid w:val="001E105A"/>
    <w:rsid w:val="001E1349"/>
    <w:rsid w:val="001E1684"/>
    <w:rsid w:val="001E19B5"/>
    <w:rsid w:val="001E1DCF"/>
    <w:rsid w:val="001E3769"/>
    <w:rsid w:val="001E38A1"/>
    <w:rsid w:val="001E3AEB"/>
    <w:rsid w:val="001E3B39"/>
    <w:rsid w:val="001E41AE"/>
    <w:rsid w:val="001E46AC"/>
    <w:rsid w:val="001E4CB9"/>
    <w:rsid w:val="001E5442"/>
    <w:rsid w:val="001E5DB7"/>
    <w:rsid w:val="001E63A1"/>
    <w:rsid w:val="001E7638"/>
    <w:rsid w:val="001E7D11"/>
    <w:rsid w:val="001F0563"/>
    <w:rsid w:val="001F0720"/>
    <w:rsid w:val="001F1C9E"/>
    <w:rsid w:val="001F20F2"/>
    <w:rsid w:val="001F25D4"/>
    <w:rsid w:val="001F3A4A"/>
    <w:rsid w:val="001F4891"/>
    <w:rsid w:val="001F4D1B"/>
    <w:rsid w:val="001F5817"/>
    <w:rsid w:val="001F583A"/>
    <w:rsid w:val="001F5B72"/>
    <w:rsid w:val="001F615F"/>
    <w:rsid w:val="001F6689"/>
    <w:rsid w:val="001F68B2"/>
    <w:rsid w:val="001F7ECE"/>
    <w:rsid w:val="00200237"/>
    <w:rsid w:val="002004AE"/>
    <w:rsid w:val="00200B1C"/>
    <w:rsid w:val="00201F4F"/>
    <w:rsid w:val="002021BE"/>
    <w:rsid w:val="002023A0"/>
    <w:rsid w:val="0020250B"/>
    <w:rsid w:val="00202AE7"/>
    <w:rsid w:val="0020300D"/>
    <w:rsid w:val="00204141"/>
    <w:rsid w:val="00204180"/>
    <w:rsid w:val="00204873"/>
    <w:rsid w:val="0020506F"/>
    <w:rsid w:val="0020585B"/>
    <w:rsid w:val="00205923"/>
    <w:rsid w:val="00205D8A"/>
    <w:rsid w:val="0020636C"/>
    <w:rsid w:val="0020670D"/>
    <w:rsid w:val="00206A01"/>
    <w:rsid w:val="00206D96"/>
    <w:rsid w:val="002101E7"/>
    <w:rsid w:val="00210249"/>
    <w:rsid w:val="00210354"/>
    <w:rsid w:val="0021041A"/>
    <w:rsid w:val="0021141F"/>
    <w:rsid w:val="002116CA"/>
    <w:rsid w:val="002119C8"/>
    <w:rsid w:val="00211C4A"/>
    <w:rsid w:val="002121A6"/>
    <w:rsid w:val="00212373"/>
    <w:rsid w:val="0021250B"/>
    <w:rsid w:val="00212513"/>
    <w:rsid w:val="00212CA7"/>
    <w:rsid w:val="00212DCB"/>
    <w:rsid w:val="002138EA"/>
    <w:rsid w:val="00213D30"/>
    <w:rsid w:val="00213EB0"/>
    <w:rsid w:val="002143B4"/>
    <w:rsid w:val="00214A9D"/>
    <w:rsid w:val="00214FBD"/>
    <w:rsid w:val="002153F5"/>
    <w:rsid w:val="002164D9"/>
    <w:rsid w:val="00216D2C"/>
    <w:rsid w:val="00217068"/>
    <w:rsid w:val="00217582"/>
    <w:rsid w:val="0021759C"/>
    <w:rsid w:val="00217C40"/>
    <w:rsid w:val="00217C47"/>
    <w:rsid w:val="00220E51"/>
    <w:rsid w:val="002223A7"/>
    <w:rsid w:val="00222624"/>
    <w:rsid w:val="00222897"/>
    <w:rsid w:val="002231A1"/>
    <w:rsid w:val="00224923"/>
    <w:rsid w:val="00225381"/>
    <w:rsid w:val="0022546C"/>
    <w:rsid w:val="002257E5"/>
    <w:rsid w:val="002261B6"/>
    <w:rsid w:val="00226413"/>
    <w:rsid w:val="00226EC5"/>
    <w:rsid w:val="00226FD1"/>
    <w:rsid w:val="002270AD"/>
    <w:rsid w:val="00227160"/>
    <w:rsid w:val="00227354"/>
    <w:rsid w:val="00227DA9"/>
    <w:rsid w:val="00230AAC"/>
    <w:rsid w:val="00231494"/>
    <w:rsid w:val="00232B6A"/>
    <w:rsid w:val="00233154"/>
    <w:rsid w:val="00233C1B"/>
    <w:rsid w:val="00233E79"/>
    <w:rsid w:val="00234348"/>
    <w:rsid w:val="00235394"/>
    <w:rsid w:val="00235A9B"/>
    <w:rsid w:val="002361A4"/>
    <w:rsid w:val="002369E4"/>
    <w:rsid w:val="00237173"/>
    <w:rsid w:val="00237359"/>
    <w:rsid w:val="0024195C"/>
    <w:rsid w:val="00241D4B"/>
    <w:rsid w:val="002421C7"/>
    <w:rsid w:val="002425F3"/>
    <w:rsid w:val="00242717"/>
    <w:rsid w:val="00242EDB"/>
    <w:rsid w:val="0024313C"/>
    <w:rsid w:val="00243F00"/>
    <w:rsid w:val="0024481B"/>
    <w:rsid w:val="00245B82"/>
    <w:rsid w:val="0024612D"/>
    <w:rsid w:val="002465C2"/>
    <w:rsid w:val="0024674A"/>
    <w:rsid w:val="00246978"/>
    <w:rsid w:val="0024735A"/>
    <w:rsid w:val="00247591"/>
    <w:rsid w:val="00247CA9"/>
    <w:rsid w:val="00247F24"/>
    <w:rsid w:val="00250046"/>
    <w:rsid w:val="0025028C"/>
    <w:rsid w:val="002502A7"/>
    <w:rsid w:val="002506F0"/>
    <w:rsid w:val="0025072E"/>
    <w:rsid w:val="00250AF5"/>
    <w:rsid w:val="0025203C"/>
    <w:rsid w:val="002521AF"/>
    <w:rsid w:val="00252D5A"/>
    <w:rsid w:val="00252D74"/>
    <w:rsid w:val="00252EB7"/>
    <w:rsid w:val="00253523"/>
    <w:rsid w:val="00253AA7"/>
    <w:rsid w:val="00253CC3"/>
    <w:rsid w:val="00253CD8"/>
    <w:rsid w:val="00254352"/>
    <w:rsid w:val="002549FC"/>
    <w:rsid w:val="002554F9"/>
    <w:rsid w:val="00255841"/>
    <w:rsid w:val="00255CC5"/>
    <w:rsid w:val="00255FA7"/>
    <w:rsid w:val="00256F0A"/>
    <w:rsid w:val="002570A5"/>
    <w:rsid w:val="002570C4"/>
    <w:rsid w:val="00257392"/>
    <w:rsid w:val="00257500"/>
    <w:rsid w:val="002608E2"/>
    <w:rsid w:val="00260E73"/>
    <w:rsid w:val="00260F10"/>
    <w:rsid w:val="0026179F"/>
    <w:rsid w:val="00261C5B"/>
    <w:rsid w:val="00262214"/>
    <w:rsid w:val="002622DB"/>
    <w:rsid w:val="00262D84"/>
    <w:rsid w:val="00263707"/>
    <w:rsid w:val="00264BD8"/>
    <w:rsid w:val="00264C10"/>
    <w:rsid w:val="00264DDA"/>
    <w:rsid w:val="00264EC3"/>
    <w:rsid w:val="00265893"/>
    <w:rsid w:val="00265F97"/>
    <w:rsid w:val="00266844"/>
    <w:rsid w:val="0026698C"/>
    <w:rsid w:val="00266CCF"/>
    <w:rsid w:val="00270291"/>
    <w:rsid w:val="002707A6"/>
    <w:rsid w:val="00271015"/>
    <w:rsid w:val="002710C9"/>
    <w:rsid w:val="0027152F"/>
    <w:rsid w:val="00271678"/>
    <w:rsid w:val="00271F41"/>
    <w:rsid w:val="00272098"/>
    <w:rsid w:val="00272308"/>
    <w:rsid w:val="00272324"/>
    <w:rsid w:val="002728AD"/>
    <w:rsid w:val="00272E07"/>
    <w:rsid w:val="002734D5"/>
    <w:rsid w:val="00273E4F"/>
    <w:rsid w:val="002749C6"/>
    <w:rsid w:val="00274E1A"/>
    <w:rsid w:val="0027538A"/>
    <w:rsid w:val="00275BD6"/>
    <w:rsid w:val="00275E1D"/>
    <w:rsid w:val="0027604F"/>
    <w:rsid w:val="002769C8"/>
    <w:rsid w:val="00276F76"/>
    <w:rsid w:val="002770F4"/>
    <w:rsid w:val="0027749D"/>
    <w:rsid w:val="00277677"/>
    <w:rsid w:val="0027790C"/>
    <w:rsid w:val="002805D8"/>
    <w:rsid w:val="002806E7"/>
    <w:rsid w:val="00281609"/>
    <w:rsid w:val="00282061"/>
    <w:rsid w:val="00282213"/>
    <w:rsid w:val="00282270"/>
    <w:rsid w:val="002824E8"/>
    <w:rsid w:val="00282E8A"/>
    <w:rsid w:val="0028329E"/>
    <w:rsid w:val="002837AB"/>
    <w:rsid w:val="00283AD3"/>
    <w:rsid w:val="002847E5"/>
    <w:rsid w:val="00284FDB"/>
    <w:rsid w:val="0028557A"/>
    <w:rsid w:val="00285B1E"/>
    <w:rsid w:val="0028604D"/>
    <w:rsid w:val="00286088"/>
    <w:rsid w:val="002863A3"/>
    <w:rsid w:val="002869A0"/>
    <w:rsid w:val="00287850"/>
    <w:rsid w:val="00287BC6"/>
    <w:rsid w:val="00287DED"/>
    <w:rsid w:val="00290711"/>
    <w:rsid w:val="00290D7F"/>
    <w:rsid w:val="00291544"/>
    <w:rsid w:val="0029193E"/>
    <w:rsid w:val="00292642"/>
    <w:rsid w:val="00292870"/>
    <w:rsid w:val="0029299D"/>
    <w:rsid w:val="00292A17"/>
    <w:rsid w:val="00292ABB"/>
    <w:rsid w:val="002936F9"/>
    <w:rsid w:val="00293A7C"/>
    <w:rsid w:val="00294970"/>
    <w:rsid w:val="002973ED"/>
    <w:rsid w:val="0029741C"/>
    <w:rsid w:val="00297444"/>
    <w:rsid w:val="0029782F"/>
    <w:rsid w:val="00297FB4"/>
    <w:rsid w:val="002A0216"/>
    <w:rsid w:val="002A0DB5"/>
    <w:rsid w:val="002A1E09"/>
    <w:rsid w:val="002A22E3"/>
    <w:rsid w:val="002A283C"/>
    <w:rsid w:val="002A2935"/>
    <w:rsid w:val="002A29E7"/>
    <w:rsid w:val="002A2B78"/>
    <w:rsid w:val="002A2D8B"/>
    <w:rsid w:val="002A380B"/>
    <w:rsid w:val="002A380C"/>
    <w:rsid w:val="002A4261"/>
    <w:rsid w:val="002A4C60"/>
    <w:rsid w:val="002A58BD"/>
    <w:rsid w:val="002A59B7"/>
    <w:rsid w:val="002A5D49"/>
    <w:rsid w:val="002A63E4"/>
    <w:rsid w:val="002A6872"/>
    <w:rsid w:val="002A6FE9"/>
    <w:rsid w:val="002A7053"/>
    <w:rsid w:val="002A7664"/>
    <w:rsid w:val="002A7797"/>
    <w:rsid w:val="002B0A5C"/>
    <w:rsid w:val="002B13C7"/>
    <w:rsid w:val="002B1B3B"/>
    <w:rsid w:val="002B22A6"/>
    <w:rsid w:val="002B2F64"/>
    <w:rsid w:val="002B2F89"/>
    <w:rsid w:val="002B3450"/>
    <w:rsid w:val="002B3815"/>
    <w:rsid w:val="002B3A84"/>
    <w:rsid w:val="002B419D"/>
    <w:rsid w:val="002B429C"/>
    <w:rsid w:val="002B55F8"/>
    <w:rsid w:val="002B6292"/>
    <w:rsid w:val="002B6CEF"/>
    <w:rsid w:val="002B72D8"/>
    <w:rsid w:val="002B7500"/>
    <w:rsid w:val="002B77D9"/>
    <w:rsid w:val="002B7A8A"/>
    <w:rsid w:val="002B7BC4"/>
    <w:rsid w:val="002B7BFF"/>
    <w:rsid w:val="002C207F"/>
    <w:rsid w:val="002C2170"/>
    <w:rsid w:val="002C2FC0"/>
    <w:rsid w:val="002C350E"/>
    <w:rsid w:val="002C364C"/>
    <w:rsid w:val="002C3F4C"/>
    <w:rsid w:val="002C5296"/>
    <w:rsid w:val="002C5300"/>
    <w:rsid w:val="002C6678"/>
    <w:rsid w:val="002C786E"/>
    <w:rsid w:val="002C7B0B"/>
    <w:rsid w:val="002C7BEB"/>
    <w:rsid w:val="002D06F5"/>
    <w:rsid w:val="002D0FCD"/>
    <w:rsid w:val="002D176F"/>
    <w:rsid w:val="002D1BF6"/>
    <w:rsid w:val="002D2B4C"/>
    <w:rsid w:val="002D2C39"/>
    <w:rsid w:val="002D368C"/>
    <w:rsid w:val="002D36ED"/>
    <w:rsid w:val="002D3DA5"/>
    <w:rsid w:val="002D402C"/>
    <w:rsid w:val="002D42DA"/>
    <w:rsid w:val="002D44AF"/>
    <w:rsid w:val="002D4597"/>
    <w:rsid w:val="002D483F"/>
    <w:rsid w:val="002D522A"/>
    <w:rsid w:val="002D59A0"/>
    <w:rsid w:val="002D5A35"/>
    <w:rsid w:val="002D5AEA"/>
    <w:rsid w:val="002D5E30"/>
    <w:rsid w:val="002D69AB"/>
    <w:rsid w:val="002D6D14"/>
    <w:rsid w:val="002D79CF"/>
    <w:rsid w:val="002D7A6B"/>
    <w:rsid w:val="002E0151"/>
    <w:rsid w:val="002E08D7"/>
    <w:rsid w:val="002E2462"/>
    <w:rsid w:val="002E31B2"/>
    <w:rsid w:val="002E34E7"/>
    <w:rsid w:val="002E3992"/>
    <w:rsid w:val="002E42E8"/>
    <w:rsid w:val="002E4368"/>
    <w:rsid w:val="002E4863"/>
    <w:rsid w:val="002E562A"/>
    <w:rsid w:val="002E5799"/>
    <w:rsid w:val="002E5AB4"/>
    <w:rsid w:val="002E5EFC"/>
    <w:rsid w:val="002E6345"/>
    <w:rsid w:val="002E6481"/>
    <w:rsid w:val="002E6BC6"/>
    <w:rsid w:val="002E7158"/>
    <w:rsid w:val="002E789A"/>
    <w:rsid w:val="002E7DE5"/>
    <w:rsid w:val="002F01C0"/>
    <w:rsid w:val="002F030F"/>
    <w:rsid w:val="002F04B4"/>
    <w:rsid w:val="002F0B60"/>
    <w:rsid w:val="002F0D68"/>
    <w:rsid w:val="002F1FDE"/>
    <w:rsid w:val="002F2311"/>
    <w:rsid w:val="002F2506"/>
    <w:rsid w:val="002F27F9"/>
    <w:rsid w:val="002F2B29"/>
    <w:rsid w:val="002F2B87"/>
    <w:rsid w:val="002F2EB8"/>
    <w:rsid w:val="002F300C"/>
    <w:rsid w:val="002F33E4"/>
    <w:rsid w:val="002F3BD7"/>
    <w:rsid w:val="002F405C"/>
    <w:rsid w:val="002F4093"/>
    <w:rsid w:val="002F40CC"/>
    <w:rsid w:val="002F428E"/>
    <w:rsid w:val="002F4689"/>
    <w:rsid w:val="002F5045"/>
    <w:rsid w:val="002F623E"/>
    <w:rsid w:val="002F63F6"/>
    <w:rsid w:val="002F7A38"/>
    <w:rsid w:val="002F7C85"/>
    <w:rsid w:val="002F7D50"/>
    <w:rsid w:val="0030095A"/>
    <w:rsid w:val="00300D1D"/>
    <w:rsid w:val="00300D2E"/>
    <w:rsid w:val="0030107D"/>
    <w:rsid w:val="00301585"/>
    <w:rsid w:val="003017A7"/>
    <w:rsid w:val="00301D6B"/>
    <w:rsid w:val="00301EF2"/>
    <w:rsid w:val="0030236F"/>
    <w:rsid w:val="00302C96"/>
    <w:rsid w:val="003034ED"/>
    <w:rsid w:val="003052DA"/>
    <w:rsid w:val="0030597C"/>
    <w:rsid w:val="00305B24"/>
    <w:rsid w:val="003068AB"/>
    <w:rsid w:val="00306B1D"/>
    <w:rsid w:val="003071FF"/>
    <w:rsid w:val="00307278"/>
    <w:rsid w:val="00307611"/>
    <w:rsid w:val="0030783F"/>
    <w:rsid w:val="00307DB7"/>
    <w:rsid w:val="003101B6"/>
    <w:rsid w:val="00310D8A"/>
    <w:rsid w:val="003116D1"/>
    <w:rsid w:val="00311F5F"/>
    <w:rsid w:val="00312795"/>
    <w:rsid w:val="0031287D"/>
    <w:rsid w:val="00313089"/>
    <w:rsid w:val="00313C5E"/>
    <w:rsid w:val="003140CB"/>
    <w:rsid w:val="00314797"/>
    <w:rsid w:val="003147F5"/>
    <w:rsid w:val="00314CF9"/>
    <w:rsid w:val="00315713"/>
    <w:rsid w:val="00315DFA"/>
    <w:rsid w:val="00316287"/>
    <w:rsid w:val="003168BC"/>
    <w:rsid w:val="00316D42"/>
    <w:rsid w:val="00317783"/>
    <w:rsid w:val="0032006F"/>
    <w:rsid w:val="00320786"/>
    <w:rsid w:val="003210CC"/>
    <w:rsid w:val="0032165D"/>
    <w:rsid w:val="00321CF7"/>
    <w:rsid w:val="00321E1C"/>
    <w:rsid w:val="00322E33"/>
    <w:rsid w:val="00322ED7"/>
    <w:rsid w:val="003230B0"/>
    <w:rsid w:val="00323118"/>
    <w:rsid w:val="0032329F"/>
    <w:rsid w:val="003232A5"/>
    <w:rsid w:val="0032333B"/>
    <w:rsid w:val="003236FB"/>
    <w:rsid w:val="00323842"/>
    <w:rsid w:val="003239B1"/>
    <w:rsid w:val="00323A0C"/>
    <w:rsid w:val="00323B82"/>
    <w:rsid w:val="00324414"/>
    <w:rsid w:val="00325AD5"/>
    <w:rsid w:val="00326B16"/>
    <w:rsid w:val="00327275"/>
    <w:rsid w:val="003302E1"/>
    <w:rsid w:val="00330AB0"/>
    <w:rsid w:val="00331384"/>
    <w:rsid w:val="00331ACC"/>
    <w:rsid w:val="00331B14"/>
    <w:rsid w:val="00331F8D"/>
    <w:rsid w:val="00331F9B"/>
    <w:rsid w:val="003322C5"/>
    <w:rsid w:val="0033270F"/>
    <w:rsid w:val="0033394E"/>
    <w:rsid w:val="00333DA7"/>
    <w:rsid w:val="00334064"/>
    <w:rsid w:val="003343D8"/>
    <w:rsid w:val="00334908"/>
    <w:rsid w:val="00335560"/>
    <w:rsid w:val="003359FA"/>
    <w:rsid w:val="00335DC2"/>
    <w:rsid w:val="00335F54"/>
    <w:rsid w:val="00335FF2"/>
    <w:rsid w:val="003366B3"/>
    <w:rsid w:val="003379C2"/>
    <w:rsid w:val="00337BEF"/>
    <w:rsid w:val="00337E39"/>
    <w:rsid w:val="00340510"/>
    <w:rsid w:val="00340AE7"/>
    <w:rsid w:val="003411C2"/>
    <w:rsid w:val="00342018"/>
    <w:rsid w:val="00342AAB"/>
    <w:rsid w:val="0034310D"/>
    <w:rsid w:val="00343440"/>
    <w:rsid w:val="003438A5"/>
    <w:rsid w:val="00343E00"/>
    <w:rsid w:val="0034440B"/>
    <w:rsid w:val="003445F8"/>
    <w:rsid w:val="00344E25"/>
    <w:rsid w:val="0034537F"/>
    <w:rsid w:val="003463EB"/>
    <w:rsid w:val="00346457"/>
    <w:rsid w:val="00347719"/>
    <w:rsid w:val="0034773C"/>
    <w:rsid w:val="00350C1B"/>
    <w:rsid w:val="00350C71"/>
    <w:rsid w:val="00350E37"/>
    <w:rsid w:val="003510C3"/>
    <w:rsid w:val="0035148F"/>
    <w:rsid w:val="00351D9E"/>
    <w:rsid w:val="00352186"/>
    <w:rsid w:val="00352215"/>
    <w:rsid w:val="003537E2"/>
    <w:rsid w:val="00353E65"/>
    <w:rsid w:val="003540D1"/>
    <w:rsid w:val="00354EBB"/>
    <w:rsid w:val="00354FFE"/>
    <w:rsid w:val="0035553D"/>
    <w:rsid w:val="0035589A"/>
    <w:rsid w:val="00355BF1"/>
    <w:rsid w:val="00355C34"/>
    <w:rsid w:val="00356531"/>
    <w:rsid w:val="003569A0"/>
    <w:rsid w:val="00356B2A"/>
    <w:rsid w:val="003571A6"/>
    <w:rsid w:val="00357292"/>
    <w:rsid w:val="003572E3"/>
    <w:rsid w:val="003574C1"/>
    <w:rsid w:val="003579DB"/>
    <w:rsid w:val="00357DDA"/>
    <w:rsid w:val="003604D2"/>
    <w:rsid w:val="00361270"/>
    <w:rsid w:val="00362174"/>
    <w:rsid w:val="00362507"/>
    <w:rsid w:val="003628F4"/>
    <w:rsid w:val="00362926"/>
    <w:rsid w:val="00362BD0"/>
    <w:rsid w:val="003634D0"/>
    <w:rsid w:val="0036363F"/>
    <w:rsid w:val="0036409E"/>
    <w:rsid w:val="00364521"/>
    <w:rsid w:val="00364603"/>
    <w:rsid w:val="00364BE9"/>
    <w:rsid w:val="00364CFD"/>
    <w:rsid w:val="00364D8E"/>
    <w:rsid w:val="003650BD"/>
    <w:rsid w:val="00365E55"/>
    <w:rsid w:val="0036634E"/>
    <w:rsid w:val="00366624"/>
    <w:rsid w:val="00366642"/>
    <w:rsid w:val="00366A05"/>
    <w:rsid w:val="0036714B"/>
    <w:rsid w:val="00367724"/>
    <w:rsid w:val="00367D08"/>
    <w:rsid w:val="0037015D"/>
    <w:rsid w:val="0037097E"/>
    <w:rsid w:val="00370A22"/>
    <w:rsid w:val="00371187"/>
    <w:rsid w:val="0037200D"/>
    <w:rsid w:val="00372705"/>
    <w:rsid w:val="003729DD"/>
    <w:rsid w:val="00372DAC"/>
    <w:rsid w:val="00374443"/>
    <w:rsid w:val="003745E7"/>
    <w:rsid w:val="00375C47"/>
    <w:rsid w:val="00375CFE"/>
    <w:rsid w:val="00376812"/>
    <w:rsid w:val="00377B02"/>
    <w:rsid w:val="00380F82"/>
    <w:rsid w:val="003823DC"/>
    <w:rsid w:val="00382E94"/>
    <w:rsid w:val="003838F5"/>
    <w:rsid w:val="00383923"/>
    <w:rsid w:val="00383F20"/>
    <w:rsid w:val="0038417D"/>
    <w:rsid w:val="00384502"/>
    <w:rsid w:val="003846CE"/>
    <w:rsid w:val="00384CCF"/>
    <w:rsid w:val="00385272"/>
    <w:rsid w:val="003852C3"/>
    <w:rsid w:val="00385A78"/>
    <w:rsid w:val="003864BE"/>
    <w:rsid w:val="00390701"/>
    <w:rsid w:val="003909BC"/>
    <w:rsid w:val="00391D80"/>
    <w:rsid w:val="003920CD"/>
    <w:rsid w:val="00392D10"/>
    <w:rsid w:val="0039320F"/>
    <w:rsid w:val="00393315"/>
    <w:rsid w:val="003934E4"/>
    <w:rsid w:val="0039402E"/>
    <w:rsid w:val="00394FCA"/>
    <w:rsid w:val="0039598D"/>
    <w:rsid w:val="00396399"/>
    <w:rsid w:val="003963B2"/>
    <w:rsid w:val="003969DE"/>
    <w:rsid w:val="003978CE"/>
    <w:rsid w:val="003A1C4D"/>
    <w:rsid w:val="003A3377"/>
    <w:rsid w:val="003A34B1"/>
    <w:rsid w:val="003A38B2"/>
    <w:rsid w:val="003A5087"/>
    <w:rsid w:val="003A5173"/>
    <w:rsid w:val="003A549F"/>
    <w:rsid w:val="003A5FA4"/>
    <w:rsid w:val="003A606A"/>
    <w:rsid w:val="003A6535"/>
    <w:rsid w:val="003A73A3"/>
    <w:rsid w:val="003A7B4B"/>
    <w:rsid w:val="003A7FDA"/>
    <w:rsid w:val="003B037E"/>
    <w:rsid w:val="003B068B"/>
    <w:rsid w:val="003B13E9"/>
    <w:rsid w:val="003B1CD7"/>
    <w:rsid w:val="003B25A7"/>
    <w:rsid w:val="003B2BBC"/>
    <w:rsid w:val="003B31B2"/>
    <w:rsid w:val="003B32B3"/>
    <w:rsid w:val="003B360D"/>
    <w:rsid w:val="003B4DD6"/>
    <w:rsid w:val="003B511C"/>
    <w:rsid w:val="003B5EBE"/>
    <w:rsid w:val="003B614E"/>
    <w:rsid w:val="003B63FF"/>
    <w:rsid w:val="003B66AA"/>
    <w:rsid w:val="003B7622"/>
    <w:rsid w:val="003C0445"/>
    <w:rsid w:val="003C0941"/>
    <w:rsid w:val="003C0ACF"/>
    <w:rsid w:val="003C245B"/>
    <w:rsid w:val="003C2562"/>
    <w:rsid w:val="003C2B25"/>
    <w:rsid w:val="003C2DC1"/>
    <w:rsid w:val="003C3090"/>
    <w:rsid w:val="003C3166"/>
    <w:rsid w:val="003C34D6"/>
    <w:rsid w:val="003C3808"/>
    <w:rsid w:val="003C461F"/>
    <w:rsid w:val="003C4A44"/>
    <w:rsid w:val="003C4DF7"/>
    <w:rsid w:val="003C51C6"/>
    <w:rsid w:val="003C63B2"/>
    <w:rsid w:val="003C7064"/>
    <w:rsid w:val="003C7702"/>
    <w:rsid w:val="003C785E"/>
    <w:rsid w:val="003C7C79"/>
    <w:rsid w:val="003D0233"/>
    <w:rsid w:val="003D0424"/>
    <w:rsid w:val="003D05D4"/>
    <w:rsid w:val="003D0CDF"/>
    <w:rsid w:val="003D187B"/>
    <w:rsid w:val="003D1CDD"/>
    <w:rsid w:val="003D1F33"/>
    <w:rsid w:val="003D2AD2"/>
    <w:rsid w:val="003D2F3B"/>
    <w:rsid w:val="003D3031"/>
    <w:rsid w:val="003D3659"/>
    <w:rsid w:val="003D36F0"/>
    <w:rsid w:val="003D37A8"/>
    <w:rsid w:val="003D40E4"/>
    <w:rsid w:val="003D42DD"/>
    <w:rsid w:val="003D4535"/>
    <w:rsid w:val="003D4640"/>
    <w:rsid w:val="003D4A3B"/>
    <w:rsid w:val="003D4AD1"/>
    <w:rsid w:val="003D5DA3"/>
    <w:rsid w:val="003D716A"/>
    <w:rsid w:val="003D784F"/>
    <w:rsid w:val="003D79D1"/>
    <w:rsid w:val="003D7C1F"/>
    <w:rsid w:val="003E014D"/>
    <w:rsid w:val="003E040F"/>
    <w:rsid w:val="003E05F6"/>
    <w:rsid w:val="003E0932"/>
    <w:rsid w:val="003E122D"/>
    <w:rsid w:val="003E28D2"/>
    <w:rsid w:val="003E2FE6"/>
    <w:rsid w:val="003E30CD"/>
    <w:rsid w:val="003E35CC"/>
    <w:rsid w:val="003E39EA"/>
    <w:rsid w:val="003E461D"/>
    <w:rsid w:val="003E4FFB"/>
    <w:rsid w:val="003E5550"/>
    <w:rsid w:val="003E5EAB"/>
    <w:rsid w:val="003E5F52"/>
    <w:rsid w:val="003E672B"/>
    <w:rsid w:val="003E76B3"/>
    <w:rsid w:val="003F04F5"/>
    <w:rsid w:val="003F13F1"/>
    <w:rsid w:val="003F1503"/>
    <w:rsid w:val="003F1B8C"/>
    <w:rsid w:val="003F2A81"/>
    <w:rsid w:val="003F2FDA"/>
    <w:rsid w:val="003F40CD"/>
    <w:rsid w:val="003F4E88"/>
    <w:rsid w:val="003F4F67"/>
    <w:rsid w:val="003F515B"/>
    <w:rsid w:val="003F54ED"/>
    <w:rsid w:val="003F5BE9"/>
    <w:rsid w:val="003F61EF"/>
    <w:rsid w:val="003F6410"/>
    <w:rsid w:val="003F6732"/>
    <w:rsid w:val="003F724B"/>
    <w:rsid w:val="003F75C1"/>
    <w:rsid w:val="00400546"/>
    <w:rsid w:val="004005B3"/>
    <w:rsid w:val="004007B8"/>
    <w:rsid w:val="00400B4D"/>
    <w:rsid w:val="00401394"/>
    <w:rsid w:val="00401470"/>
    <w:rsid w:val="00401562"/>
    <w:rsid w:val="0040191B"/>
    <w:rsid w:val="004023A3"/>
    <w:rsid w:val="004028D4"/>
    <w:rsid w:val="00402E14"/>
    <w:rsid w:val="00403239"/>
    <w:rsid w:val="004038BC"/>
    <w:rsid w:val="00403DD0"/>
    <w:rsid w:val="00404575"/>
    <w:rsid w:val="004048A8"/>
    <w:rsid w:val="004048EE"/>
    <w:rsid w:val="004049D1"/>
    <w:rsid w:val="00405657"/>
    <w:rsid w:val="0040633C"/>
    <w:rsid w:val="0040655B"/>
    <w:rsid w:val="00406731"/>
    <w:rsid w:val="00406C6F"/>
    <w:rsid w:val="0040728A"/>
    <w:rsid w:val="00407387"/>
    <w:rsid w:val="0040767D"/>
    <w:rsid w:val="00407847"/>
    <w:rsid w:val="0041057F"/>
    <w:rsid w:val="00410598"/>
    <w:rsid w:val="00411BDF"/>
    <w:rsid w:val="00413D5E"/>
    <w:rsid w:val="00413D74"/>
    <w:rsid w:val="0041441E"/>
    <w:rsid w:val="004145EC"/>
    <w:rsid w:val="00414A0B"/>
    <w:rsid w:val="00415D31"/>
    <w:rsid w:val="00415DFC"/>
    <w:rsid w:val="0041688B"/>
    <w:rsid w:val="00416919"/>
    <w:rsid w:val="00417824"/>
    <w:rsid w:val="00417CF7"/>
    <w:rsid w:val="0042029D"/>
    <w:rsid w:val="004202F1"/>
    <w:rsid w:val="00420DBA"/>
    <w:rsid w:val="00421865"/>
    <w:rsid w:val="00421AEF"/>
    <w:rsid w:val="00421F67"/>
    <w:rsid w:val="00422A70"/>
    <w:rsid w:val="0042305C"/>
    <w:rsid w:val="004231DC"/>
    <w:rsid w:val="0042321C"/>
    <w:rsid w:val="004235B5"/>
    <w:rsid w:val="00423631"/>
    <w:rsid w:val="00423C66"/>
    <w:rsid w:val="00424BC2"/>
    <w:rsid w:val="00424ED4"/>
    <w:rsid w:val="0042503F"/>
    <w:rsid w:val="0042651F"/>
    <w:rsid w:val="00427A35"/>
    <w:rsid w:val="00427DBF"/>
    <w:rsid w:val="0043023E"/>
    <w:rsid w:val="004310C7"/>
    <w:rsid w:val="00431588"/>
    <w:rsid w:val="0043195D"/>
    <w:rsid w:val="00432C03"/>
    <w:rsid w:val="00433398"/>
    <w:rsid w:val="004334B2"/>
    <w:rsid w:val="00433918"/>
    <w:rsid w:val="00434783"/>
    <w:rsid w:val="0043514D"/>
    <w:rsid w:val="00435BCF"/>
    <w:rsid w:val="00435DB5"/>
    <w:rsid w:val="00436340"/>
    <w:rsid w:val="00436526"/>
    <w:rsid w:val="00436ED7"/>
    <w:rsid w:val="004379DE"/>
    <w:rsid w:val="00437B7F"/>
    <w:rsid w:val="00440D0B"/>
    <w:rsid w:val="00441979"/>
    <w:rsid w:val="004424E9"/>
    <w:rsid w:val="0044289E"/>
    <w:rsid w:val="00442C7F"/>
    <w:rsid w:val="00442FA2"/>
    <w:rsid w:val="0044393B"/>
    <w:rsid w:val="00443C26"/>
    <w:rsid w:val="00444225"/>
    <w:rsid w:val="0044425E"/>
    <w:rsid w:val="00444A13"/>
    <w:rsid w:val="00445CC9"/>
    <w:rsid w:val="00445D09"/>
    <w:rsid w:val="00445D1B"/>
    <w:rsid w:val="00445E05"/>
    <w:rsid w:val="00446FBE"/>
    <w:rsid w:val="00447BC0"/>
    <w:rsid w:val="00447BDC"/>
    <w:rsid w:val="004502EA"/>
    <w:rsid w:val="0045046E"/>
    <w:rsid w:val="004504A4"/>
    <w:rsid w:val="00450F29"/>
    <w:rsid w:val="004514FF"/>
    <w:rsid w:val="00451E79"/>
    <w:rsid w:val="00452AF3"/>
    <w:rsid w:val="00453588"/>
    <w:rsid w:val="00453589"/>
    <w:rsid w:val="004539A7"/>
    <w:rsid w:val="00453C1C"/>
    <w:rsid w:val="00454608"/>
    <w:rsid w:val="00454743"/>
    <w:rsid w:val="00454F89"/>
    <w:rsid w:val="004550C3"/>
    <w:rsid w:val="004554BF"/>
    <w:rsid w:val="00455902"/>
    <w:rsid w:val="00455E95"/>
    <w:rsid w:val="004560B0"/>
    <w:rsid w:val="004566EA"/>
    <w:rsid w:val="004568DF"/>
    <w:rsid w:val="00456BEA"/>
    <w:rsid w:val="00456D4D"/>
    <w:rsid w:val="00457114"/>
    <w:rsid w:val="00457C47"/>
    <w:rsid w:val="00460CEA"/>
    <w:rsid w:val="0046349A"/>
    <w:rsid w:val="0046357F"/>
    <w:rsid w:val="00464749"/>
    <w:rsid w:val="004652DB"/>
    <w:rsid w:val="004665BB"/>
    <w:rsid w:val="00466A67"/>
    <w:rsid w:val="00466AF8"/>
    <w:rsid w:val="0047030E"/>
    <w:rsid w:val="00470331"/>
    <w:rsid w:val="004707C7"/>
    <w:rsid w:val="0047088B"/>
    <w:rsid w:val="004709DF"/>
    <w:rsid w:val="00470E07"/>
    <w:rsid w:val="004714C0"/>
    <w:rsid w:val="0047156B"/>
    <w:rsid w:val="00471B1E"/>
    <w:rsid w:val="00472056"/>
    <w:rsid w:val="004730D0"/>
    <w:rsid w:val="0047478B"/>
    <w:rsid w:val="00474A93"/>
    <w:rsid w:val="00475B8A"/>
    <w:rsid w:val="004761E8"/>
    <w:rsid w:val="00476917"/>
    <w:rsid w:val="00476B51"/>
    <w:rsid w:val="00476FC9"/>
    <w:rsid w:val="0047709B"/>
    <w:rsid w:val="0047781B"/>
    <w:rsid w:val="00477A99"/>
    <w:rsid w:val="0048137C"/>
    <w:rsid w:val="00481692"/>
    <w:rsid w:val="0048179B"/>
    <w:rsid w:val="00481847"/>
    <w:rsid w:val="00481A32"/>
    <w:rsid w:val="00481B8C"/>
    <w:rsid w:val="00481C2C"/>
    <w:rsid w:val="004825DC"/>
    <w:rsid w:val="00482CB5"/>
    <w:rsid w:val="00484428"/>
    <w:rsid w:val="00484D90"/>
    <w:rsid w:val="00485432"/>
    <w:rsid w:val="004856D9"/>
    <w:rsid w:val="00485876"/>
    <w:rsid w:val="00485CB1"/>
    <w:rsid w:val="00485E1A"/>
    <w:rsid w:val="00486E44"/>
    <w:rsid w:val="00486F09"/>
    <w:rsid w:val="00487CBA"/>
    <w:rsid w:val="00487FC7"/>
    <w:rsid w:val="004905E7"/>
    <w:rsid w:val="004907C2"/>
    <w:rsid w:val="004907E2"/>
    <w:rsid w:val="0049094C"/>
    <w:rsid w:val="00491305"/>
    <w:rsid w:val="0049149E"/>
    <w:rsid w:val="00492AEF"/>
    <w:rsid w:val="00492CD8"/>
    <w:rsid w:val="00492FD7"/>
    <w:rsid w:val="0049341E"/>
    <w:rsid w:val="00493D47"/>
    <w:rsid w:val="00493F40"/>
    <w:rsid w:val="00494125"/>
    <w:rsid w:val="004942F1"/>
    <w:rsid w:val="004944F1"/>
    <w:rsid w:val="004948C8"/>
    <w:rsid w:val="00494954"/>
    <w:rsid w:val="00494C54"/>
    <w:rsid w:val="00494C83"/>
    <w:rsid w:val="00495824"/>
    <w:rsid w:val="004959E6"/>
    <w:rsid w:val="0049642F"/>
    <w:rsid w:val="00496C45"/>
    <w:rsid w:val="00496D4E"/>
    <w:rsid w:val="004975B1"/>
    <w:rsid w:val="00497D93"/>
    <w:rsid w:val="004A0026"/>
    <w:rsid w:val="004A0126"/>
    <w:rsid w:val="004A07B6"/>
    <w:rsid w:val="004A0AE4"/>
    <w:rsid w:val="004A0B49"/>
    <w:rsid w:val="004A146B"/>
    <w:rsid w:val="004A15EB"/>
    <w:rsid w:val="004A17AD"/>
    <w:rsid w:val="004A17C7"/>
    <w:rsid w:val="004A215D"/>
    <w:rsid w:val="004A2579"/>
    <w:rsid w:val="004A2A8F"/>
    <w:rsid w:val="004A338D"/>
    <w:rsid w:val="004A4374"/>
    <w:rsid w:val="004A5027"/>
    <w:rsid w:val="004A54BD"/>
    <w:rsid w:val="004A5748"/>
    <w:rsid w:val="004A61A1"/>
    <w:rsid w:val="004A6A03"/>
    <w:rsid w:val="004A6F1F"/>
    <w:rsid w:val="004B0872"/>
    <w:rsid w:val="004B0BC4"/>
    <w:rsid w:val="004B0CE5"/>
    <w:rsid w:val="004B1B47"/>
    <w:rsid w:val="004B1D4D"/>
    <w:rsid w:val="004B1E6F"/>
    <w:rsid w:val="004B1E78"/>
    <w:rsid w:val="004B2316"/>
    <w:rsid w:val="004B24DF"/>
    <w:rsid w:val="004B253D"/>
    <w:rsid w:val="004B26E9"/>
    <w:rsid w:val="004B2A99"/>
    <w:rsid w:val="004B31BB"/>
    <w:rsid w:val="004B337B"/>
    <w:rsid w:val="004B358A"/>
    <w:rsid w:val="004B3C4D"/>
    <w:rsid w:val="004B40D7"/>
    <w:rsid w:val="004B566A"/>
    <w:rsid w:val="004B5921"/>
    <w:rsid w:val="004B5C7C"/>
    <w:rsid w:val="004B6300"/>
    <w:rsid w:val="004B65B3"/>
    <w:rsid w:val="004B691D"/>
    <w:rsid w:val="004B6AE0"/>
    <w:rsid w:val="004B6E0E"/>
    <w:rsid w:val="004C050B"/>
    <w:rsid w:val="004C0650"/>
    <w:rsid w:val="004C151B"/>
    <w:rsid w:val="004C1557"/>
    <w:rsid w:val="004C1AD4"/>
    <w:rsid w:val="004C1FED"/>
    <w:rsid w:val="004C25CD"/>
    <w:rsid w:val="004C2FBE"/>
    <w:rsid w:val="004C3298"/>
    <w:rsid w:val="004C338A"/>
    <w:rsid w:val="004C3B9E"/>
    <w:rsid w:val="004C3E55"/>
    <w:rsid w:val="004C4D28"/>
    <w:rsid w:val="004C58A6"/>
    <w:rsid w:val="004C618D"/>
    <w:rsid w:val="004C62B3"/>
    <w:rsid w:val="004C7898"/>
    <w:rsid w:val="004C7A4D"/>
    <w:rsid w:val="004C7FF2"/>
    <w:rsid w:val="004D08AC"/>
    <w:rsid w:val="004D14CA"/>
    <w:rsid w:val="004D1531"/>
    <w:rsid w:val="004D1BEE"/>
    <w:rsid w:val="004D1C34"/>
    <w:rsid w:val="004D23A8"/>
    <w:rsid w:val="004D2838"/>
    <w:rsid w:val="004D2983"/>
    <w:rsid w:val="004D2FC3"/>
    <w:rsid w:val="004D3021"/>
    <w:rsid w:val="004D33A7"/>
    <w:rsid w:val="004D43D5"/>
    <w:rsid w:val="004D476F"/>
    <w:rsid w:val="004D5084"/>
    <w:rsid w:val="004D578D"/>
    <w:rsid w:val="004D5EB8"/>
    <w:rsid w:val="004D5FDB"/>
    <w:rsid w:val="004D61FE"/>
    <w:rsid w:val="004D63EC"/>
    <w:rsid w:val="004D64B3"/>
    <w:rsid w:val="004D658B"/>
    <w:rsid w:val="004D69A7"/>
    <w:rsid w:val="004D78DD"/>
    <w:rsid w:val="004E06A6"/>
    <w:rsid w:val="004E13F4"/>
    <w:rsid w:val="004E1DE2"/>
    <w:rsid w:val="004E1E93"/>
    <w:rsid w:val="004E23DE"/>
    <w:rsid w:val="004E34F7"/>
    <w:rsid w:val="004E3899"/>
    <w:rsid w:val="004E3B18"/>
    <w:rsid w:val="004E3DFD"/>
    <w:rsid w:val="004E4003"/>
    <w:rsid w:val="004E4C8D"/>
    <w:rsid w:val="004E500C"/>
    <w:rsid w:val="004E5190"/>
    <w:rsid w:val="004E56EA"/>
    <w:rsid w:val="004E579A"/>
    <w:rsid w:val="004E5ECF"/>
    <w:rsid w:val="004E65FD"/>
    <w:rsid w:val="004E6DEC"/>
    <w:rsid w:val="004E6FB0"/>
    <w:rsid w:val="004E7243"/>
    <w:rsid w:val="004E753A"/>
    <w:rsid w:val="004E7758"/>
    <w:rsid w:val="004E78F4"/>
    <w:rsid w:val="004F03DF"/>
    <w:rsid w:val="004F03F6"/>
    <w:rsid w:val="004F06AD"/>
    <w:rsid w:val="004F0B5D"/>
    <w:rsid w:val="004F0D23"/>
    <w:rsid w:val="004F13AC"/>
    <w:rsid w:val="004F162C"/>
    <w:rsid w:val="004F1EFA"/>
    <w:rsid w:val="004F2907"/>
    <w:rsid w:val="004F2AC0"/>
    <w:rsid w:val="004F2E11"/>
    <w:rsid w:val="004F37F5"/>
    <w:rsid w:val="004F3830"/>
    <w:rsid w:val="004F3ABA"/>
    <w:rsid w:val="004F3DA3"/>
    <w:rsid w:val="004F3F18"/>
    <w:rsid w:val="004F4659"/>
    <w:rsid w:val="004F5012"/>
    <w:rsid w:val="004F52AB"/>
    <w:rsid w:val="004F54D5"/>
    <w:rsid w:val="004F59A8"/>
    <w:rsid w:val="004F5AB7"/>
    <w:rsid w:val="004F6C24"/>
    <w:rsid w:val="004F74EA"/>
    <w:rsid w:val="004F7C98"/>
    <w:rsid w:val="004F7F45"/>
    <w:rsid w:val="0050001C"/>
    <w:rsid w:val="005010A5"/>
    <w:rsid w:val="00501517"/>
    <w:rsid w:val="005015C6"/>
    <w:rsid w:val="00501B52"/>
    <w:rsid w:val="00501D6C"/>
    <w:rsid w:val="0050308F"/>
    <w:rsid w:val="00503124"/>
    <w:rsid w:val="005031E8"/>
    <w:rsid w:val="0050357B"/>
    <w:rsid w:val="00503690"/>
    <w:rsid w:val="00503C68"/>
    <w:rsid w:val="00503E6B"/>
    <w:rsid w:val="00504AD9"/>
    <w:rsid w:val="00504B45"/>
    <w:rsid w:val="00504C1D"/>
    <w:rsid w:val="00504F69"/>
    <w:rsid w:val="0050512B"/>
    <w:rsid w:val="00505BFA"/>
    <w:rsid w:val="005060E4"/>
    <w:rsid w:val="005062B6"/>
    <w:rsid w:val="00506586"/>
    <w:rsid w:val="0050736B"/>
    <w:rsid w:val="00507442"/>
    <w:rsid w:val="0050777E"/>
    <w:rsid w:val="005111CD"/>
    <w:rsid w:val="00511894"/>
    <w:rsid w:val="0051194C"/>
    <w:rsid w:val="005127DE"/>
    <w:rsid w:val="00513C96"/>
    <w:rsid w:val="00513E1C"/>
    <w:rsid w:val="005140FF"/>
    <w:rsid w:val="005143E6"/>
    <w:rsid w:val="005145C7"/>
    <w:rsid w:val="00515E1E"/>
    <w:rsid w:val="0051608B"/>
    <w:rsid w:val="0051711F"/>
    <w:rsid w:val="00517132"/>
    <w:rsid w:val="0051728C"/>
    <w:rsid w:val="005173BD"/>
    <w:rsid w:val="00517614"/>
    <w:rsid w:val="00517810"/>
    <w:rsid w:val="00517897"/>
    <w:rsid w:val="00520147"/>
    <w:rsid w:val="005203DE"/>
    <w:rsid w:val="00520A6F"/>
    <w:rsid w:val="00520AC6"/>
    <w:rsid w:val="0052180F"/>
    <w:rsid w:val="0052284E"/>
    <w:rsid w:val="00522C6B"/>
    <w:rsid w:val="00522E14"/>
    <w:rsid w:val="0052396B"/>
    <w:rsid w:val="00523A04"/>
    <w:rsid w:val="00523D83"/>
    <w:rsid w:val="00523EE4"/>
    <w:rsid w:val="00524077"/>
    <w:rsid w:val="00524509"/>
    <w:rsid w:val="0052457E"/>
    <w:rsid w:val="00524822"/>
    <w:rsid w:val="00525243"/>
    <w:rsid w:val="005256BE"/>
    <w:rsid w:val="005259DC"/>
    <w:rsid w:val="00525F2E"/>
    <w:rsid w:val="0052616E"/>
    <w:rsid w:val="005265BC"/>
    <w:rsid w:val="00526946"/>
    <w:rsid w:val="005269F5"/>
    <w:rsid w:val="00526E5F"/>
    <w:rsid w:val="00527046"/>
    <w:rsid w:val="0052731E"/>
    <w:rsid w:val="005276C5"/>
    <w:rsid w:val="0053022F"/>
    <w:rsid w:val="005303DB"/>
    <w:rsid w:val="00530629"/>
    <w:rsid w:val="00530A13"/>
    <w:rsid w:val="00530F0C"/>
    <w:rsid w:val="005313CD"/>
    <w:rsid w:val="005315A5"/>
    <w:rsid w:val="0053190E"/>
    <w:rsid w:val="00532319"/>
    <w:rsid w:val="00532CDA"/>
    <w:rsid w:val="00533E6D"/>
    <w:rsid w:val="005350A4"/>
    <w:rsid w:val="0053576F"/>
    <w:rsid w:val="005359E5"/>
    <w:rsid w:val="00535C14"/>
    <w:rsid w:val="00535F75"/>
    <w:rsid w:val="005362E3"/>
    <w:rsid w:val="00536509"/>
    <w:rsid w:val="00536AB5"/>
    <w:rsid w:val="00536F14"/>
    <w:rsid w:val="0053727C"/>
    <w:rsid w:val="0053737E"/>
    <w:rsid w:val="00537882"/>
    <w:rsid w:val="005400D0"/>
    <w:rsid w:val="005406D9"/>
    <w:rsid w:val="00540706"/>
    <w:rsid w:val="00540EB7"/>
    <w:rsid w:val="00540FA5"/>
    <w:rsid w:val="00540FBD"/>
    <w:rsid w:val="005412AC"/>
    <w:rsid w:val="00541599"/>
    <w:rsid w:val="00541715"/>
    <w:rsid w:val="005417C8"/>
    <w:rsid w:val="00541F8B"/>
    <w:rsid w:val="00542652"/>
    <w:rsid w:val="00542A9B"/>
    <w:rsid w:val="0054322A"/>
    <w:rsid w:val="00543923"/>
    <w:rsid w:val="00543EF7"/>
    <w:rsid w:val="005450EF"/>
    <w:rsid w:val="005452A5"/>
    <w:rsid w:val="00545456"/>
    <w:rsid w:val="00545846"/>
    <w:rsid w:val="005458CD"/>
    <w:rsid w:val="00545B6E"/>
    <w:rsid w:val="00545F13"/>
    <w:rsid w:val="00550BB1"/>
    <w:rsid w:val="00551B47"/>
    <w:rsid w:val="00551B6C"/>
    <w:rsid w:val="00551C37"/>
    <w:rsid w:val="00551E27"/>
    <w:rsid w:val="00552873"/>
    <w:rsid w:val="00552C84"/>
    <w:rsid w:val="005534EE"/>
    <w:rsid w:val="00553637"/>
    <w:rsid w:val="00553AB0"/>
    <w:rsid w:val="00555415"/>
    <w:rsid w:val="005555AF"/>
    <w:rsid w:val="00555A08"/>
    <w:rsid w:val="00555F29"/>
    <w:rsid w:val="00556154"/>
    <w:rsid w:val="0055699A"/>
    <w:rsid w:val="00556A55"/>
    <w:rsid w:val="00556A72"/>
    <w:rsid w:val="00556F0C"/>
    <w:rsid w:val="00557EAB"/>
    <w:rsid w:val="0056147F"/>
    <w:rsid w:val="0056161B"/>
    <w:rsid w:val="00561966"/>
    <w:rsid w:val="00563111"/>
    <w:rsid w:val="00564539"/>
    <w:rsid w:val="00564B29"/>
    <w:rsid w:val="00567E92"/>
    <w:rsid w:val="00571520"/>
    <w:rsid w:val="0057172C"/>
    <w:rsid w:val="00571783"/>
    <w:rsid w:val="00571E43"/>
    <w:rsid w:val="005724AC"/>
    <w:rsid w:val="0057313C"/>
    <w:rsid w:val="00573161"/>
    <w:rsid w:val="00573202"/>
    <w:rsid w:val="0057469E"/>
    <w:rsid w:val="00575096"/>
    <w:rsid w:val="0057554C"/>
    <w:rsid w:val="005756A6"/>
    <w:rsid w:val="00575719"/>
    <w:rsid w:val="00575876"/>
    <w:rsid w:val="0057628B"/>
    <w:rsid w:val="00577349"/>
    <w:rsid w:val="00577842"/>
    <w:rsid w:val="00577B7B"/>
    <w:rsid w:val="00577EEB"/>
    <w:rsid w:val="00580522"/>
    <w:rsid w:val="005806AA"/>
    <w:rsid w:val="00580EF2"/>
    <w:rsid w:val="00581629"/>
    <w:rsid w:val="00584608"/>
    <w:rsid w:val="00584A4B"/>
    <w:rsid w:val="00584D0C"/>
    <w:rsid w:val="005852B3"/>
    <w:rsid w:val="00585585"/>
    <w:rsid w:val="005856A4"/>
    <w:rsid w:val="0058596D"/>
    <w:rsid w:val="00585F14"/>
    <w:rsid w:val="005860E1"/>
    <w:rsid w:val="00586312"/>
    <w:rsid w:val="005865BD"/>
    <w:rsid w:val="0058668B"/>
    <w:rsid w:val="0058674B"/>
    <w:rsid w:val="00586BDE"/>
    <w:rsid w:val="00587106"/>
    <w:rsid w:val="005871A6"/>
    <w:rsid w:val="0058720C"/>
    <w:rsid w:val="0058737E"/>
    <w:rsid w:val="005878A5"/>
    <w:rsid w:val="00590A6D"/>
    <w:rsid w:val="00590B50"/>
    <w:rsid w:val="00590C7C"/>
    <w:rsid w:val="00590CE7"/>
    <w:rsid w:val="00591048"/>
    <w:rsid w:val="005912B3"/>
    <w:rsid w:val="005917A9"/>
    <w:rsid w:val="00592F8F"/>
    <w:rsid w:val="005932FA"/>
    <w:rsid w:val="0059340F"/>
    <w:rsid w:val="005937DC"/>
    <w:rsid w:val="00593800"/>
    <w:rsid w:val="00593E83"/>
    <w:rsid w:val="0059456C"/>
    <w:rsid w:val="005955BC"/>
    <w:rsid w:val="00595B59"/>
    <w:rsid w:val="0059660E"/>
    <w:rsid w:val="00596667"/>
    <w:rsid w:val="0059681D"/>
    <w:rsid w:val="00596E13"/>
    <w:rsid w:val="005A023B"/>
    <w:rsid w:val="005A0429"/>
    <w:rsid w:val="005A13DB"/>
    <w:rsid w:val="005A17B1"/>
    <w:rsid w:val="005A17CE"/>
    <w:rsid w:val="005A1A64"/>
    <w:rsid w:val="005A1E4F"/>
    <w:rsid w:val="005A2A59"/>
    <w:rsid w:val="005A30D1"/>
    <w:rsid w:val="005A37DF"/>
    <w:rsid w:val="005A546F"/>
    <w:rsid w:val="005A56A8"/>
    <w:rsid w:val="005A6683"/>
    <w:rsid w:val="005A67C9"/>
    <w:rsid w:val="005A766A"/>
    <w:rsid w:val="005A792E"/>
    <w:rsid w:val="005A79D9"/>
    <w:rsid w:val="005B0F6A"/>
    <w:rsid w:val="005B193D"/>
    <w:rsid w:val="005B1E1A"/>
    <w:rsid w:val="005B1F15"/>
    <w:rsid w:val="005B23BE"/>
    <w:rsid w:val="005B29B5"/>
    <w:rsid w:val="005B2A50"/>
    <w:rsid w:val="005B2F65"/>
    <w:rsid w:val="005B3E23"/>
    <w:rsid w:val="005B3F53"/>
    <w:rsid w:val="005B41F6"/>
    <w:rsid w:val="005B4416"/>
    <w:rsid w:val="005B4D7C"/>
    <w:rsid w:val="005B4EE5"/>
    <w:rsid w:val="005B50C1"/>
    <w:rsid w:val="005B5A48"/>
    <w:rsid w:val="005B5C1C"/>
    <w:rsid w:val="005B5E2E"/>
    <w:rsid w:val="005B63D0"/>
    <w:rsid w:val="005B67A3"/>
    <w:rsid w:val="005B7227"/>
    <w:rsid w:val="005B7B87"/>
    <w:rsid w:val="005B7BAE"/>
    <w:rsid w:val="005C0134"/>
    <w:rsid w:val="005C019D"/>
    <w:rsid w:val="005C0499"/>
    <w:rsid w:val="005C12E2"/>
    <w:rsid w:val="005C2B85"/>
    <w:rsid w:val="005C3512"/>
    <w:rsid w:val="005C4018"/>
    <w:rsid w:val="005C453E"/>
    <w:rsid w:val="005C4CA3"/>
    <w:rsid w:val="005C4CCF"/>
    <w:rsid w:val="005C4E15"/>
    <w:rsid w:val="005C4F05"/>
    <w:rsid w:val="005C4FB6"/>
    <w:rsid w:val="005C5FA3"/>
    <w:rsid w:val="005C6F72"/>
    <w:rsid w:val="005C71E2"/>
    <w:rsid w:val="005C74BE"/>
    <w:rsid w:val="005C7CB5"/>
    <w:rsid w:val="005C7D47"/>
    <w:rsid w:val="005D0972"/>
    <w:rsid w:val="005D0BD1"/>
    <w:rsid w:val="005D0D1D"/>
    <w:rsid w:val="005D0E08"/>
    <w:rsid w:val="005D1B91"/>
    <w:rsid w:val="005D2197"/>
    <w:rsid w:val="005D2673"/>
    <w:rsid w:val="005D3059"/>
    <w:rsid w:val="005D3CBA"/>
    <w:rsid w:val="005D47DD"/>
    <w:rsid w:val="005D47F0"/>
    <w:rsid w:val="005D4C01"/>
    <w:rsid w:val="005D51C3"/>
    <w:rsid w:val="005D5B24"/>
    <w:rsid w:val="005D5D93"/>
    <w:rsid w:val="005D63B7"/>
    <w:rsid w:val="005D660C"/>
    <w:rsid w:val="005D6DCA"/>
    <w:rsid w:val="005D72EF"/>
    <w:rsid w:val="005D73D1"/>
    <w:rsid w:val="005D754B"/>
    <w:rsid w:val="005E0178"/>
    <w:rsid w:val="005E0BE2"/>
    <w:rsid w:val="005E0DCD"/>
    <w:rsid w:val="005E2276"/>
    <w:rsid w:val="005E2ADD"/>
    <w:rsid w:val="005E323A"/>
    <w:rsid w:val="005E3E86"/>
    <w:rsid w:val="005E42F0"/>
    <w:rsid w:val="005E4724"/>
    <w:rsid w:val="005E5985"/>
    <w:rsid w:val="005E5B23"/>
    <w:rsid w:val="005E5F9F"/>
    <w:rsid w:val="005E6092"/>
    <w:rsid w:val="005E6294"/>
    <w:rsid w:val="005E7768"/>
    <w:rsid w:val="005E785A"/>
    <w:rsid w:val="005E7B2C"/>
    <w:rsid w:val="005E7E39"/>
    <w:rsid w:val="005F0177"/>
    <w:rsid w:val="005F017E"/>
    <w:rsid w:val="005F0F91"/>
    <w:rsid w:val="005F11D9"/>
    <w:rsid w:val="005F1A01"/>
    <w:rsid w:val="005F2B60"/>
    <w:rsid w:val="005F2B6C"/>
    <w:rsid w:val="005F2BEA"/>
    <w:rsid w:val="005F2D8C"/>
    <w:rsid w:val="005F3439"/>
    <w:rsid w:val="005F3886"/>
    <w:rsid w:val="005F3D92"/>
    <w:rsid w:val="005F4093"/>
    <w:rsid w:val="005F40E4"/>
    <w:rsid w:val="005F469B"/>
    <w:rsid w:val="005F55A3"/>
    <w:rsid w:val="005F55F8"/>
    <w:rsid w:val="005F563C"/>
    <w:rsid w:val="005F57B4"/>
    <w:rsid w:val="005F5E01"/>
    <w:rsid w:val="005F61C3"/>
    <w:rsid w:val="005F6479"/>
    <w:rsid w:val="005F6DA1"/>
    <w:rsid w:val="005F7EA5"/>
    <w:rsid w:val="006002C5"/>
    <w:rsid w:val="006003DF"/>
    <w:rsid w:val="00600757"/>
    <w:rsid w:val="006016F2"/>
    <w:rsid w:val="00601791"/>
    <w:rsid w:val="00601BCD"/>
    <w:rsid w:val="0060275C"/>
    <w:rsid w:val="006028FB"/>
    <w:rsid w:val="00602BCD"/>
    <w:rsid w:val="006033BC"/>
    <w:rsid w:val="006038B8"/>
    <w:rsid w:val="00603943"/>
    <w:rsid w:val="006040EA"/>
    <w:rsid w:val="0060469B"/>
    <w:rsid w:val="006047B3"/>
    <w:rsid w:val="00604902"/>
    <w:rsid w:val="00604AB9"/>
    <w:rsid w:val="00606360"/>
    <w:rsid w:val="00606C25"/>
    <w:rsid w:val="00606DA7"/>
    <w:rsid w:val="00606FEC"/>
    <w:rsid w:val="00606FF1"/>
    <w:rsid w:val="00607B3F"/>
    <w:rsid w:val="00607C9E"/>
    <w:rsid w:val="00607FC1"/>
    <w:rsid w:val="0061035E"/>
    <w:rsid w:val="00610721"/>
    <w:rsid w:val="00610982"/>
    <w:rsid w:val="00610EED"/>
    <w:rsid w:val="0061139C"/>
    <w:rsid w:val="00611938"/>
    <w:rsid w:val="0061230B"/>
    <w:rsid w:val="006126EE"/>
    <w:rsid w:val="006131DC"/>
    <w:rsid w:val="00613A8D"/>
    <w:rsid w:val="006141EB"/>
    <w:rsid w:val="00614C11"/>
    <w:rsid w:val="00615020"/>
    <w:rsid w:val="0061590F"/>
    <w:rsid w:val="00617472"/>
    <w:rsid w:val="006176A4"/>
    <w:rsid w:val="00617873"/>
    <w:rsid w:val="00617D64"/>
    <w:rsid w:val="0062010B"/>
    <w:rsid w:val="00620F88"/>
    <w:rsid w:val="006211EB"/>
    <w:rsid w:val="00621321"/>
    <w:rsid w:val="00621C5F"/>
    <w:rsid w:val="00622066"/>
    <w:rsid w:val="006226BC"/>
    <w:rsid w:val="0062356D"/>
    <w:rsid w:val="00623665"/>
    <w:rsid w:val="00624011"/>
    <w:rsid w:val="006248D5"/>
    <w:rsid w:val="0062551F"/>
    <w:rsid w:val="006264D4"/>
    <w:rsid w:val="006270A6"/>
    <w:rsid w:val="0062728D"/>
    <w:rsid w:val="0063019F"/>
    <w:rsid w:val="0063052A"/>
    <w:rsid w:val="0063082B"/>
    <w:rsid w:val="006308F2"/>
    <w:rsid w:val="00630F44"/>
    <w:rsid w:val="00631D63"/>
    <w:rsid w:val="006320EF"/>
    <w:rsid w:val="0063277E"/>
    <w:rsid w:val="00632B0B"/>
    <w:rsid w:val="00633945"/>
    <w:rsid w:val="0063425E"/>
    <w:rsid w:val="006349AF"/>
    <w:rsid w:val="00634A7B"/>
    <w:rsid w:val="00635671"/>
    <w:rsid w:val="00635713"/>
    <w:rsid w:val="006368A4"/>
    <w:rsid w:val="00636BCC"/>
    <w:rsid w:val="006371A9"/>
    <w:rsid w:val="00637641"/>
    <w:rsid w:val="006379CE"/>
    <w:rsid w:val="0064059F"/>
    <w:rsid w:val="006409D7"/>
    <w:rsid w:val="00641495"/>
    <w:rsid w:val="006421ED"/>
    <w:rsid w:val="00642655"/>
    <w:rsid w:val="0064283F"/>
    <w:rsid w:val="006428A0"/>
    <w:rsid w:val="00642B0D"/>
    <w:rsid w:val="0064323E"/>
    <w:rsid w:val="00643324"/>
    <w:rsid w:val="006433B1"/>
    <w:rsid w:val="0064386D"/>
    <w:rsid w:val="0064474D"/>
    <w:rsid w:val="006447AB"/>
    <w:rsid w:val="00644AF6"/>
    <w:rsid w:val="00644DBB"/>
    <w:rsid w:val="00644EFA"/>
    <w:rsid w:val="0064679C"/>
    <w:rsid w:val="00646C17"/>
    <w:rsid w:val="00647D81"/>
    <w:rsid w:val="0065079C"/>
    <w:rsid w:val="00650FAD"/>
    <w:rsid w:val="006512BD"/>
    <w:rsid w:val="00651321"/>
    <w:rsid w:val="006514B9"/>
    <w:rsid w:val="006517D0"/>
    <w:rsid w:val="006518CE"/>
    <w:rsid w:val="00652079"/>
    <w:rsid w:val="0065226C"/>
    <w:rsid w:val="006525CF"/>
    <w:rsid w:val="006529B4"/>
    <w:rsid w:val="0065310A"/>
    <w:rsid w:val="006531A1"/>
    <w:rsid w:val="006537E8"/>
    <w:rsid w:val="006540F5"/>
    <w:rsid w:val="006541B3"/>
    <w:rsid w:val="00654651"/>
    <w:rsid w:val="00654CF4"/>
    <w:rsid w:val="00654F63"/>
    <w:rsid w:val="00654F94"/>
    <w:rsid w:val="0065544C"/>
    <w:rsid w:val="006557C0"/>
    <w:rsid w:val="00656110"/>
    <w:rsid w:val="006565A2"/>
    <w:rsid w:val="00656D64"/>
    <w:rsid w:val="0065702D"/>
    <w:rsid w:val="006577B2"/>
    <w:rsid w:val="00657811"/>
    <w:rsid w:val="006601EC"/>
    <w:rsid w:val="00660F34"/>
    <w:rsid w:val="00661D6F"/>
    <w:rsid w:val="00662682"/>
    <w:rsid w:val="0066275E"/>
    <w:rsid w:val="006628C0"/>
    <w:rsid w:val="00662BAC"/>
    <w:rsid w:val="00663A1B"/>
    <w:rsid w:val="00663A22"/>
    <w:rsid w:val="00663A8E"/>
    <w:rsid w:val="00663AFA"/>
    <w:rsid w:val="00663C2D"/>
    <w:rsid w:val="00663D41"/>
    <w:rsid w:val="00664563"/>
    <w:rsid w:val="006647CB"/>
    <w:rsid w:val="0066497B"/>
    <w:rsid w:val="00664B29"/>
    <w:rsid w:val="00664EF3"/>
    <w:rsid w:val="0066527E"/>
    <w:rsid w:val="00665A62"/>
    <w:rsid w:val="00665C04"/>
    <w:rsid w:val="00666664"/>
    <w:rsid w:val="006672CF"/>
    <w:rsid w:val="0066734B"/>
    <w:rsid w:val="0066745C"/>
    <w:rsid w:val="00670166"/>
    <w:rsid w:val="00670537"/>
    <w:rsid w:val="00670D82"/>
    <w:rsid w:val="00671093"/>
    <w:rsid w:val="00671BEF"/>
    <w:rsid w:val="006729D6"/>
    <w:rsid w:val="006736AC"/>
    <w:rsid w:val="00673A5A"/>
    <w:rsid w:val="00673AF6"/>
    <w:rsid w:val="0067473B"/>
    <w:rsid w:val="00674C3D"/>
    <w:rsid w:val="0067517D"/>
    <w:rsid w:val="0067558F"/>
    <w:rsid w:val="00675AB9"/>
    <w:rsid w:val="00676217"/>
    <w:rsid w:val="0067637E"/>
    <w:rsid w:val="00676811"/>
    <w:rsid w:val="00676F9F"/>
    <w:rsid w:val="0068044B"/>
    <w:rsid w:val="0068137B"/>
    <w:rsid w:val="00681432"/>
    <w:rsid w:val="00681A23"/>
    <w:rsid w:val="006822C6"/>
    <w:rsid w:val="0068259C"/>
    <w:rsid w:val="006825E1"/>
    <w:rsid w:val="0068272F"/>
    <w:rsid w:val="0068390E"/>
    <w:rsid w:val="00683EB8"/>
    <w:rsid w:val="00684722"/>
    <w:rsid w:val="0068496A"/>
    <w:rsid w:val="00684B13"/>
    <w:rsid w:val="00684B9B"/>
    <w:rsid w:val="00685124"/>
    <w:rsid w:val="006851AB"/>
    <w:rsid w:val="00685276"/>
    <w:rsid w:val="00685322"/>
    <w:rsid w:val="0068602C"/>
    <w:rsid w:val="0068666D"/>
    <w:rsid w:val="00686F4B"/>
    <w:rsid w:val="00687333"/>
    <w:rsid w:val="00687541"/>
    <w:rsid w:val="00687B23"/>
    <w:rsid w:val="00687E08"/>
    <w:rsid w:val="00687E6D"/>
    <w:rsid w:val="00690088"/>
    <w:rsid w:val="006904BC"/>
    <w:rsid w:val="00690C50"/>
    <w:rsid w:val="00690EB8"/>
    <w:rsid w:val="00690F36"/>
    <w:rsid w:val="00690FBD"/>
    <w:rsid w:val="006911F3"/>
    <w:rsid w:val="00691A47"/>
    <w:rsid w:val="00691E72"/>
    <w:rsid w:val="00692002"/>
    <w:rsid w:val="00692087"/>
    <w:rsid w:val="0069293D"/>
    <w:rsid w:val="0069305B"/>
    <w:rsid w:val="0069454E"/>
    <w:rsid w:val="006945D8"/>
    <w:rsid w:val="00695901"/>
    <w:rsid w:val="00695999"/>
    <w:rsid w:val="00697B87"/>
    <w:rsid w:val="006A0ED1"/>
    <w:rsid w:val="006A1291"/>
    <w:rsid w:val="006A150E"/>
    <w:rsid w:val="006A19A2"/>
    <w:rsid w:val="006A2BA5"/>
    <w:rsid w:val="006A337A"/>
    <w:rsid w:val="006A3825"/>
    <w:rsid w:val="006A3BCF"/>
    <w:rsid w:val="006A3FE9"/>
    <w:rsid w:val="006A4499"/>
    <w:rsid w:val="006A4F6F"/>
    <w:rsid w:val="006A5938"/>
    <w:rsid w:val="006A5D26"/>
    <w:rsid w:val="006A5D2E"/>
    <w:rsid w:val="006A6146"/>
    <w:rsid w:val="006A6D54"/>
    <w:rsid w:val="006A6ED2"/>
    <w:rsid w:val="006A7656"/>
    <w:rsid w:val="006B0BDA"/>
    <w:rsid w:val="006B169A"/>
    <w:rsid w:val="006B1CF2"/>
    <w:rsid w:val="006B2F94"/>
    <w:rsid w:val="006B3667"/>
    <w:rsid w:val="006B368E"/>
    <w:rsid w:val="006B4158"/>
    <w:rsid w:val="006B4894"/>
    <w:rsid w:val="006B4AB3"/>
    <w:rsid w:val="006B532C"/>
    <w:rsid w:val="006B55E8"/>
    <w:rsid w:val="006B57C2"/>
    <w:rsid w:val="006B721C"/>
    <w:rsid w:val="006B737D"/>
    <w:rsid w:val="006B7FA8"/>
    <w:rsid w:val="006C08AD"/>
    <w:rsid w:val="006C0A58"/>
    <w:rsid w:val="006C0F6E"/>
    <w:rsid w:val="006C1542"/>
    <w:rsid w:val="006C1703"/>
    <w:rsid w:val="006C1A9C"/>
    <w:rsid w:val="006C1EEC"/>
    <w:rsid w:val="006C2434"/>
    <w:rsid w:val="006C26AD"/>
    <w:rsid w:val="006C28B4"/>
    <w:rsid w:val="006C3E68"/>
    <w:rsid w:val="006C41A2"/>
    <w:rsid w:val="006C4C55"/>
    <w:rsid w:val="006C4F20"/>
    <w:rsid w:val="006C5558"/>
    <w:rsid w:val="006C5584"/>
    <w:rsid w:val="006C5991"/>
    <w:rsid w:val="006C609B"/>
    <w:rsid w:val="006C6387"/>
    <w:rsid w:val="006C6759"/>
    <w:rsid w:val="006C69FD"/>
    <w:rsid w:val="006C71FF"/>
    <w:rsid w:val="006C772C"/>
    <w:rsid w:val="006C7CF2"/>
    <w:rsid w:val="006C7E2A"/>
    <w:rsid w:val="006C7E65"/>
    <w:rsid w:val="006C7FCE"/>
    <w:rsid w:val="006D0127"/>
    <w:rsid w:val="006D045A"/>
    <w:rsid w:val="006D10DE"/>
    <w:rsid w:val="006D1231"/>
    <w:rsid w:val="006D1835"/>
    <w:rsid w:val="006D1A51"/>
    <w:rsid w:val="006D24CA"/>
    <w:rsid w:val="006D27E1"/>
    <w:rsid w:val="006D2C0C"/>
    <w:rsid w:val="006D2D61"/>
    <w:rsid w:val="006D2ECF"/>
    <w:rsid w:val="006D38D1"/>
    <w:rsid w:val="006D4075"/>
    <w:rsid w:val="006D44BB"/>
    <w:rsid w:val="006D546B"/>
    <w:rsid w:val="006D586B"/>
    <w:rsid w:val="006D69C6"/>
    <w:rsid w:val="006D6C68"/>
    <w:rsid w:val="006D728C"/>
    <w:rsid w:val="006D762A"/>
    <w:rsid w:val="006D7A30"/>
    <w:rsid w:val="006D7EAE"/>
    <w:rsid w:val="006E0979"/>
    <w:rsid w:val="006E0CE6"/>
    <w:rsid w:val="006E0E40"/>
    <w:rsid w:val="006E138E"/>
    <w:rsid w:val="006E1891"/>
    <w:rsid w:val="006E1F18"/>
    <w:rsid w:val="006E323A"/>
    <w:rsid w:val="006E32E9"/>
    <w:rsid w:val="006E452B"/>
    <w:rsid w:val="006E4D0B"/>
    <w:rsid w:val="006E50C9"/>
    <w:rsid w:val="006E6521"/>
    <w:rsid w:val="006E6BDE"/>
    <w:rsid w:val="006E6BF4"/>
    <w:rsid w:val="006E70F0"/>
    <w:rsid w:val="006E742C"/>
    <w:rsid w:val="006E790B"/>
    <w:rsid w:val="006E7B14"/>
    <w:rsid w:val="006E7E6B"/>
    <w:rsid w:val="006F207E"/>
    <w:rsid w:val="006F2A5D"/>
    <w:rsid w:val="006F2CE0"/>
    <w:rsid w:val="006F30F2"/>
    <w:rsid w:val="006F32FF"/>
    <w:rsid w:val="006F36AC"/>
    <w:rsid w:val="006F3756"/>
    <w:rsid w:val="006F4482"/>
    <w:rsid w:val="006F7B7B"/>
    <w:rsid w:val="00700075"/>
    <w:rsid w:val="00700458"/>
    <w:rsid w:val="007007C9"/>
    <w:rsid w:val="007008B9"/>
    <w:rsid w:val="007008E9"/>
    <w:rsid w:val="007014A2"/>
    <w:rsid w:val="007014E0"/>
    <w:rsid w:val="00701C2C"/>
    <w:rsid w:val="0070218B"/>
    <w:rsid w:val="007027D0"/>
    <w:rsid w:val="00702D49"/>
    <w:rsid w:val="0070308B"/>
    <w:rsid w:val="007033C1"/>
    <w:rsid w:val="007036AC"/>
    <w:rsid w:val="0070387D"/>
    <w:rsid w:val="00704ABC"/>
    <w:rsid w:val="00704E63"/>
    <w:rsid w:val="0070544D"/>
    <w:rsid w:val="00705BFB"/>
    <w:rsid w:val="00705EBD"/>
    <w:rsid w:val="0070646B"/>
    <w:rsid w:val="007066D7"/>
    <w:rsid w:val="00706F09"/>
    <w:rsid w:val="00706F35"/>
    <w:rsid w:val="007070FF"/>
    <w:rsid w:val="007074D8"/>
    <w:rsid w:val="0071048E"/>
    <w:rsid w:val="00710AD2"/>
    <w:rsid w:val="00710BA7"/>
    <w:rsid w:val="00710FE8"/>
    <w:rsid w:val="0071157A"/>
    <w:rsid w:val="00711926"/>
    <w:rsid w:val="00711B55"/>
    <w:rsid w:val="00711D93"/>
    <w:rsid w:val="00711E4B"/>
    <w:rsid w:val="00712824"/>
    <w:rsid w:val="00712867"/>
    <w:rsid w:val="00712E15"/>
    <w:rsid w:val="007134D5"/>
    <w:rsid w:val="00713B22"/>
    <w:rsid w:val="00713CE3"/>
    <w:rsid w:val="007141B1"/>
    <w:rsid w:val="00714980"/>
    <w:rsid w:val="00714BC9"/>
    <w:rsid w:val="00715694"/>
    <w:rsid w:val="007163F8"/>
    <w:rsid w:val="00716E8A"/>
    <w:rsid w:val="00717122"/>
    <w:rsid w:val="0071715E"/>
    <w:rsid w:val="007179C4"/>
    <w:rsid w:val="00717C01"/>
    <w:rsid w:val="00720176"/>
    <w:rsid w:val="00722229"/>
    <w:rsid w:val="00722727"/>
    <w:rsid w:val="00722885"/>
    <w:rsid w:val="00723177"/>
    <w:rsid w:val="00723A73"/>
    <w:rsid w:val="00723F3A"/>
    <w:rsid w:val="00725A5E"/>
    <w:rsid w:val="00725F80"/>
    <w:rsid w:val="007260F0"/>
    <w:rsid w:val="00726BF2"/>
    <w:rsid w:val="00726FFF"/>
    <w:rsid w:val="00727C1E"/>
    <w:rsid w:val="00730683"/>
    <w:rsid w:val="00730F85"/>
    <w:rsid w:val="007314A7"/>
    <w:rsid w:val="007316A0"/>
    <w:rsid w:val="00731B15"/>
    <w:rsid w:val="00731B33"/>
    <w:rsid w:val="00732DFF"/>
    <w:rsid w:val="007330CE"/>
    <w:rsid w:val="0073393C"/>
    <w:rsid w:val="00733DD6"/>
    <w:rsid w:val="00734217"/>
    <w:rsid w:val="0073431D"/>
    <w:rsid w:val="00735162"/>
    <w:rsid w:val="00735542"/>
    <w:rsid w:val="00735ABB"/>
    <w:rsid w:val="0073609F"/>
    <w:rsid w:val="00736380"/>
    <w:rsid w:val="007364BC"/>
    <w:rsid w:val="00736731"/>
    <w:rsid w:val="00736BCA"/>
    <w:rsid w:val="00736F2A"/>
    <w:rsid w:val="00737331"/>
    <w:rsid w:val="00737466"/>
    <w:rsid w:val="00737559"/>
    <w:rsid w:val="00737949"/>
    <w:rsid w:val="0074015A"/>
    <w:rsid w:val="007409E1"/>
    <w:rsid w:val="00740DD9"/>
    <w:rsid w:val="00741EA7"/>
    <w:rsid w:val="007428EA"/>
    <w:rsid w:val="00743747"/>
    <w:rsid w:val="00743C6B"/>
    <w:rsid w:val="007444D9"/>
    <w:rsid w:val="00744542"/>
    <w:rsid w:val="00744804"/>
    <w:rsid w:val="00744EEC"/>
    <w:rsid w:val="00744F31"/>
    <w:rsid w:val="0074533D"/>
    <w:rsid w:val="00745624"/>
    <w:rsid w:val="0074662F"/>
    <w:rsid w:val="00747003"/>
    <w:rsid w:val="007477FA"/>
    <w:rsid w:val="007508C8"/>
    <w:rsid w:val="00750A4F"/>
    <w:rsid w:val="00750BF6"/>
    <w:rsid w:val="00750F62"/>
    <w:rsid w:val="007510CB"/>
    <w:rsid w:val="00751D28"/>
    <w:rsid w:val="00752A0F"/>
    <w:rsid w:val="00753075"/>
    <w:rsid w:val="00754BE4"/>
    <w:rsid w:val="00754C44"/>
    <w:rsid w:val="00754C58"/>
    <w:rsid w:val="00755538"/>
    <w:rsid w:val="00755EDF"/>
    <w:rsid w:val="007561E3"/>
    <w:rsid w:val="0075723E"/>
    <w:rsid w:val="00757321"/>
    <w:rsid w:val="00757530"/>
    <w:rsid w:val="007602AE"/>
    <w:rsid w:val="00760503"/>
    <w:rsid w:val="00760C60"/>
    <w:rsid w:val="00760E63"/>
    <w:rsid w:val="00762B95"/>
    <w:rsid w:val="00763228"/>
    <w:rsid w:val="007633F2"/>
    <w:rsid w:val="007637B1"/>
    <w:rsid w:val="007644DE"/>
    <w:rsid w:val="00764A29"/>
    <w:rsid w:val="00765874"/>
    <w:rsid w:val="0076592F"/>
    <w:rsid w:val="00766008"/>
    <w:rsid w:val="00766D33"/>
    <w:rsid w:val="00770114"/>
    <w:rsid w:val="007702C2"/>
    <w:rsid w:val="00770716"/>
    <w:rsid w:val="0077073E"/>
    <w:rsid w:val="00770EA3"/>
    <w:rsid w:val="00771C82"/>
    <w:rsid w:val="00772829"/>
    <w:rsid w:val="00772A68"/>
    <w:rsid w:val="0077340D"/>
    <w:rsid w:val="00773A04"/>
    <w:rsid w:val="00773C45"/>
    <w:rsid w:val="0077458B"/>
    <w:rsid w:val="00775B54"/>
    <w:rsid w:val="00775E94"/>
    <w:rsid w:val="007767C2"/>
    <w:rsid w:val="00776AC3"/>
    <w:rsid w:val="00777492"/>
    <w:rsid w:val="0077793A"/>
    <w:rsid w:val="00777A9B"/>
    <w:rsid w:val="00777BBC"/>
    <w:rsid w:val="00777DAE"/>
    <w:rsid w:val="00777F66"/>
    <w:rsid w:val="007809FA"/>
    <w:rsid w:val="00780E93"/>
    <w:rsid w:val="00780E9C"/>
    <w:rsid w:val="0078108A"/>
    <w:rsid w:val="007810DE"/>
    <w:rsid w:val="0078133B"/>
    <w:rsid w:val="007819A6"/>
    <w:rsid w:val="00781B2C"/>
    <w:rsid w:val="0078218F"/>
    <w:rsid w:val="00782444"/>
    <w:rsid w:val="00783FA8"/>
    <w:rsid w:val="00784117"/>
    <w:rsid w:val="00784740"/>
    <w:rsid w:val="007851F3"/>
    <w:rsid w:val="00785838"/>
    <w:rsid w:val="00785908"/>
    <w:rsid w:val="00785C40"/>
    <w:rsid w:val="00786013"/>
    <w:rsid w:val="0078602A"/>
    <w:rsid w:val="007860F9"/>
    <w:rsid w:val="0078680B"/>
    <w:rsid w:val="00786B9F"/>
    <w:rsid w:val="00786E66"/>
    <w:rsid w:val="00787062"/>
    <w:rsid w:val="00791181"/>
    <w:rsid w:val="00791352"/>
    <w:rsid w:val="007914D6"/>
    <w:rsid w:val="00791693"/>
    <w:rsid w:val="00791AB8"/>
    <w:rsid w:val="00791BE2"/>
    <w:rsid w:val="00792F3D"/>
    <w:rsid w:val="00794CE0"/>
    <w:rsid w:val="00795A7B"/>
    <w:rsid w:val="00795D5B"/>
    <w:rsid w:val="00796758"/>
    <w:rsid w:val="00797D13"/>
    <w:rsid w:val="00797FC8"/>
    <w:rsid w:val="007A0308"/>
    <w:rsid w:val="007A1480"/>
    <w:rsid w:val="007A1867"/>
    <w:rsid w:val="007A1EBF"/>
    <w:rsid w:val="007A241C"/>
    <w:rsid w:val="007A26BB"/>
    <w:rsid w:val="007A2D1A"/>
    <w:rsid w:val="007A312B"/>
    <w:rsid w:val="007A41BF"/>
    <w:rsid w:val="007A5248"/>
    <w:rsid w:val="007A5DC1"/>
    <w:rsid w:val="007A616C"/>
    <w:rsid w:val="007A6720"/>
    <w:rsid w:val="007A6955"/>
    <w:rsid w:val="007A723E"/>
    <w:rsid w:val="007A762A"/>
    <w:rsid w:val="007B0065"/>
    <w:rsid w:val="007B05BA"/>
    <w:rsid w:val="007B0E42"/>
    <w:rsid w:val="007B0E4F"/>
    <w:rsid w:val="007B0EE9"/>
    <w:rsid w:val="007B1C2E"/>
    <w:rsid w:val="007B1DCC"/>
    <w:rsid w:val="007B1F25"/>
    <w:rsid w:val="007B2324"/>
    <w:rsid w:val="007B2CD3"/>
    <w:rsid w:val="007B2D72"/>
    <w:rsid w:val="007B2E9F"/>
    <w:rsid w:val="007B3790"/>
    <w:rsid w:val="007B38B9"/>
    <w:rsid w:val="007B3D53"/>
    <w:rsid w:val="007B3D9C"/>
    <w:rsid w:val="007B40A9"/>
    <w:rsid w:val="007B4172"/>
    <w:rsid w:val="007B4789"/>
    <w:rsid w:val="007B54D9"/>
    <w:rsid w:val="007B55E9"/>
    <w:rsid w:val="007B5909"/>
    <w:rsid w:val="007B5A91"/>
    <w:rsid w:val="007B5DBE"/>
    <w:rsid w:val="007B68B1"/>
    <w:rsid w:val="007B6B88"/>
    <w:rsid w:val="007B73D7"/>
    <w:rsid w:val="007B7919"/>
    <w:rsid w:val="007B7E1D"/>
    <w:rsid w:val="007B7E8F"/>
    <w:rsid w:val="007B7FF4"/>
    <w:rsid w:val="007C06B4"/>
    <w:rsid w:val="007C0983"/>
    <w:rsid w:val="007C0F60"/>
    <w:rsid w:val="007C136B"/>
    <w:rsid w:val="007C1A13"/>
    <w:rsid w:val="007C1DB6"/>
    <w:rsid w:val="007C2C1E"/>
    <w:rsid w:val="007C462C"/>
    <w:rsid w:val="007C4FE0"/>
    <w:rsid w:val="007C516C"/>
    <w:rsid w:val="007C53E3"/>
    <w:rsid w:val="007C6033"/>
    <w:rsid w:val="007C610E"/>
    <w:rsid w:val="007C66F5"/>
    <w:rsid w:val="007C702B"/>
    <w:rsid w:val="007C75E1"/>
    <w:rsid w:val="007C7639"/>
    <w:rsid w:val="007C7881"/>
    <w:rsid w:val="007C7B3F"/>
    <w:rsid w:val="007D0276"/>
    <w:rsid w:val="007D02A3"/>
    <w:rsid w:val="007D09E8"/>
    <w:rsid w:val="007D0F9C"/>
    <w:rsid w:val="007D12E6"/>
    <w:rsid w:val="007D1502"/>
    <w:rsid w:val="007D1927"/>
    <w:rsid w:val="007D1D9E"/>
    <w:rsid w:val="007D1FCE"/>
    <w:rsid w:val="007D347D"/>
    <w:rsid w:val="007D3A26"/>
    <w:rsid w:val="007D3BE6"/>
    <w:rsid w:val="007D45F1"/>
    <w:rsid w:val="007D526E"/>
    <w:rsid w:val="007D527F"/>
    <w:rsid w:val="007D5710"/>
    <w:rsid w:val="007D5A92"/>
    <w:rsid w:val="007D6013"/>
    <w:rsid w:val="007D626F"/>
    <w:rsid w:val="007D7B79"/>
    <w:rsid w:val="007E0387"/>
    <w:rsid w:val="007E0CEA"/>
    <w:rsid w:val="007E106C"/>
    <w:rsid w:val="007E147F"/>
    <w:rsid w:val="007E14CE"/>
    <w:rsid w:val="007E1EDC"/>
    <w:rsid w:val="007E21AA"/>
    <w:rsid w:val="007E23D8"/>
    <w:rsid w:val="007E2979"/>
    <w:rsid w:val="007E3046"/>
    <w:rsid w:val="007E37E6"/>
    <w:rsid w:val="007E4456"/>
    <w:rsid w:val="007E4C48"/>
    <w:rsid w:val="007E52F6"/>
    <w:rsid w:val="007E58C0"/>
    <w:rsid w:val="007E6CE1"/>
    <w:rsid w:val="007E769A"/>
    <w:rsid w:val="007E7820"/>
    <w:rsid w:val="007E791F"/>
    <w:rsid w:val="007F06F0"/>
    <w:rsid w:val="007F08AD"/>
    <w:rsid w:val="007F0B80"/>
    <w:rsid w:val="007F0E1E"/>
    <w:rsid w:val="007F0FE3"/>
    <w:rsid w:val="007F1890"/>
    <w:rsid w:val="007F1E3F"/>
    <w:rsid w:val="007F1EBF"/>
    <w:rsid w:val="007F215A"/>
    <w:rsid w:val="007F354F"/>
    <w:rsid w:val="007F366D"/>
    <w:rsid w:val="007F3F16"/>
    <w:rsid w:val="007F450D"/>
    <w:rsid w:val="007F5640"/>
    <w:rsid w:val="007F575B"/>
    <w:rsid w:val="007F5E10"/>
    <w:rsid w:val="007F62EA"/>
    <w:rsid w:val="007F727F"/>
    <w:rsid w:val="007F7765"/>
    <w:rsid w:val="007F7C99"/>
    <w:rsid w:val="008004A9"/>
    <w:rsid w:val="00800752"/>
    <w:rsid w:val="008015D9"/>
    <w:rsid w:val="0080168B"/>
    <w:rsid w:val="0080184F"/>
    <w:rsid w:val="00801C2D"/>
    <w:rsid w:val="00801F03"/>
    <w:rsid w:val="00802077"/>
    <w:rsid w:val="00803075"/>
    <w:rsid w:val="0080350A"/>
    <w:rsid w:val="00803723"/>
    <w:rsid w:val="00803C1C"/>
    <w:rsid w:val="00803D5D"/>
    <w:rsid w:val="0080401C"/>
    <w:rsid w:val="008041B2"/>
    <w:rsid w:val="0080496F"/>
    <w:rsid w:val="00804A50"/>
    <w:rsid w:val="00804C1C"/>
    <w:rsid w:val="008054B2"/>
    <w:rsid w:val="00805655"/>
    <w:rsid w:val="008056C8"/>
    <w:rsid w:val="00805B1B"/>
    <w:rsid w:val="00805F91"/>
    <w:rsid w:val="00806C5F"/>
    <w:rsid w:val="00806F8D"/>
    <w:rsid w:val="0080752A"/>
    <w:rsid w:val="00807D4E"/>
    <w:rsid w:val="00810315"/>
    <w:rsid w:val="00811FA6"/>
    <w:rsid w:val="008127E8"/>
    <w:rsid w:val="0081359C"/>
    <w:rsid w:val="00814109"/>
    <w:rsid w:val="00814B66"/>
    <w:rsid w:val="00814D76"/>
    <w:rsid w:val="0081516B"/>
    <w:rsid w:val="008157D3"/>
    <w:rsid w:val="0081642A"/>
    <w:rsid w:val="00816505"/>
    <w:rsid w:val="00816595"/>
    <w:rsid w:val="008166A6"/>
    <w:rsid w:val="008169D9"/>
    <w:rsid w:val="00817007"/>
    <w:rsid w:val="008201C3"/>
    <w:rsid w:val="0082036D"/>
    <w:rsid w:val="00820C50"/>
    <w:rsid w:val="00820C8C"/>
    <w:rsid w:val="00821083"/>
    <w:rsid w:val="008215E2"/>
    <w:rsid w:val="00822294"/>
    <w:rsid w:val="008222AF"/>
    <w:rsid w:val="00822512"/>
    <w:rsid w:val="00822954"/>
    <w:rsid w:val="00823592"/>
    <w:rsid w:val="00823594"/>
    <w:rsid w:val="008240AA"/>
    <w:rsid w:val="0082426B"/>
    <w:rsid w:val="00825644"/>
    <w:rsid w:val="0082598F"/>
    <w:rsid w:val="00825D86"/>
    <w:rsid w:val="00826984"/>
    <w:rsid w:val="00827196"/>
    <w:rsid w:val="008277C4"/>
    <w:rsid w:val="0082795C"/>
    <w:rsid w:val="0082795E"/>
    <w:rsid w:val="00830505"/>
    <w:rsid w:val="00830807"/>
    <w:rsid w:val="0083179B"/>
    <w:rsid w:val="00831B8E"/>
    <w:rsid w:val="00833464"/>
    <w:rsid w:val="0083433C"/>
    <w:rsid w:val="008350F6"/>
    <w:rsid w:val="008357E1"/>
    <w:rsid w:val="008358C3"/>
    <w:rsid w:val="00835D7D"/>
    <w:rsid w:val="00836673"/>
    <w:rsid w:val="00836F63"/>
    <w:rsid w:val="00837444"/>
    <w:rsid w:val="008377ED"/>
    <w:rsid w:val="00840045"/>
    <w:rsid w:val="0084011F"/>
    <w:rsid w:val="00840386"/>
    <w:rsid w:val="00840E5E"/>
    <w:rsid w:val="00841193"/>
    <w:rsid w:val="00841419"/>
    <w:rsid w:val="008416E5"/>
    <w:rsid w:val="00841851"/>
    <w:rsid w:val="008419F9"/>
    <w:rsid w:val="00841B85"/>
    <w:rsid w:val="0084242B"/>
    <w:rsid w:val="0084255E"/>
    <w:rsid w:val="008426FC"/>
    <w:rsid w:val="0084298D"/>
    <w:rsid w:val="00843642"/>
    <w:rsid w:val="00843A54"/>
    <w:rsid w:val="00843D2B"/>
    <w:rsid w:val="00843E19"/>
    <w:rsid w:val="00844059"/>
    <w:rsid w:val="00844166"/>
    <w:rsid w:val="008448CC"/>
    <w:rsid w:val="0084539E"/>
    <w:rsid w:val="0084555E"/>
    <w:rsid w:val="008458F7"/>
    <w:rsid w:val="0084634C"/>
    <w:rsid w:val="008463AD"/>
    <w:rsid w:val="008464B0"/>
    <w:rsid w:val="00846816"/>
    <w:rsid w:val="00847492"/>
    <w:rsid w:val="00847B94"/>
    <w:rsid w:val="008500C3"/>
    <w:rsid w:val="00850289"/>
    <w:rsid w:val="0085060D"/>
    <w:rsid w:val="00850B93"/>
    <w:rsid w:val="00850BE7"/>
    <w:rsid w:val="00850C21"/>
    <w:rsid w:val="00850D99"/>
    <w:rsid w:val="00850E40"/>
    <w:rsid w:val="008516E1"/>
    <w:rsid w:val="00851F4F"/>
    <w:rsid w:val="00853968"/>
    <w:rsid w:val="00853EB0"/>
    <w:rsid w:val="008553A6"/>
    <w:rsid w:val="008556C4"/>
    <w:rsid w:val="008556FA"/>
    <w:rsid w:val="00856060"/>
    <w:rsid w:val="00857171"/>
    <w:rsid w:val="0085736A"/>
    <w:rsid w:val="00857B52"/>
    <w:rsid w:val="00857CE2"/>
    <w:rsid w:val="00857EB4"/>
    <w:rsid w:val="00857F58"/>
    <w:rsid w:val="0086023F"/>
    <w:rsid w:val="00860512"/>
    <w:rsid w:val="00860A90"/>
    <w:rsid w:val="008615F0"/>
    <w:rsid w:val="008619FA"/>
    <w:rsid w:val="00861D60"/>
    <w:rsid w:val="0086225D"/>
    <w:rsid w:val="00862277"/>
    <w:rsid w:val="00862B4D"/>
    <w:rsid w:val="00863B89"/>
    <w:rsid w:val="0086416E"/>
    <w:rsid w:val="00864202"/>
    <w:rsid w:val="00864E84"/>
    <w:rsid w:val="00865425"/>
    <w:rsid w:val="008667DC"/>
    <w:rsid w:val="00866A8E"/>
    <w:rsid w:val="008670CD"/>
    <w:rsid w:val="0086742A"/>
    <w:rsid w:val="0086760C"/>
    <w:rsid w:val="008679D5"/>
    <w:rsid w:val="00867A87"/>
    <w:rsid w:val="00867AD8"/>
    <w:rsid w:val="00867DC9"/>
    <w:rsid w:val="00870761"/>
    <w:rsid w:val="008707E2"/>
    <w:rsid w:val="00871D74"/>
    <w:rsid w:val="00872C72"/>
    <w:rsid w:val="00872F2F"/>
    <w:rsid w:val="00873416"/>
    <w:rsid w:val="00873712"/>
    <w:rsid w:val="00873978"/>
    <w:rsid w:val="008745EA"/>
    <w:rsid w:val="0087462F"/>
    <w:rsid w:val="0087465D"/>
    <w:rsid w:val="0087489E"/>
    <w:rsid w:val="00874A07"/>
    <w:rsid w:val="008753C8"/>
    <w:rsid w:val="0087542B"/>
    <w:rsid w:val="008761F7"/>
    <w:rsid w:val="0087678D"/>
    <w:rsid w:val="008773E3"/>
    <w:rsid w:val="0087757C"/>
    <w:rsid w:val="00877E2C"/>
    <w:rsid w:val="00877F37"/>
    <w:rsid w:val="00880153"/>
    <w:rsid w:val="008806EB"/>
    <w:rsid w:val="00880BBF"/>
    <w:rsid w:val="00880C41"/>
    <w:rsid w:val="0088139B"/>
    <w:rsid w:val="00881444"/>
    <w:rsid w:val="008815CF"/>
    <w:rsid w:val="0088198F"/>
    <w:rsid w:val="00882684"/>
    <w:rsid w:val="00882997"/>
    <w:rsid w:val="00883C72"/>
    <w:rsid w:val="00884E64"/>
    <w:rsid w:val="00885164"/>
    <w:rsid w:val="0088537E"/>
    <w:rsid w:val="00885636"/>
    <w:rsid w:val="00885F0C"/>
    <w:rsid w:val="00886231"/>
    <w:rsid w:val="008865E6"/>
    <w:rsid w:val="008868B3"/>
    <w:rsid w:val="00886D42"/>
    <w:rsid w:val="00887860"/>
    <w:rsid w:val="00887E30"/>
    <w:rsid w:val="0089057A"/>
    <w:rsid w:val="00890941"/>
    <w:rsid w:val="00890EB9"/>
    <w:rsid w:val="00890FCC"/>
    <w:rsid w:val="00891263"/>
    <w:rsid w:val="008926B2"/>
    <w:rsid w:val="00892EEC"/>
    <w:rsid w:val="00892F8A"/>
    <w:rsid w:val="008933B8"/>
    <w:rsid w:val="00894668"/>
    <w:rsid w:val="0089472A"/>
    <w:rsid w:val="00894A86"/>
    <w:rsid w:val="0089500C"/>
    <w:rsid w:val="00895050"/>
    <w:rsid w:val="00895168"/>
    <w:rsid w:val="00895A68"/>
    <w:rsid w:val="00895D14"/>
    <w:rsid w:val="0089644B"/>
    <w:rsid w:val="00896EDA"/>
    <w:rsid w:val="00897630"/>
    <w:rsid w:val="00897AA5"/>
    <w:rsid w:val="00897CF7"/>
    <w:rsid w:val="008A0232"/>
    <w:rsid w:val="008A0553"/>
    <w:rsid w:val="008A07BA"/>
    <w:rsid w:val="008A1425"/>
    <w:rsid w:val="008A268F"/>
    <w:rsid w:val="008A2F7B"/>
    <w:rsid w:val="008A3547"/>
    <w:rsid w:val="008A46C1"/>
    <w:rsid w:val="008A4FD7"/>
    <w:rsid w:val="008A5061"/>
    <w:rsid w:val="008A518B"/>
    <w:rsid w:val="008A5E57"/>
    <w:rsid w:val="008A5F25"/>
    <w:rsid w:val="008A618D"/>
    <w:rsid w:val="008A69F1"/>
    <w:rsid w:val="008A7576"/>
    <w:rsid w:val="008A777A"/>
    <w:rsid w:val="008A7979"/>
    <w:rsid w:val="008A7AF8"/>
    <w:rsid w:val="008B0633"/>
    <w:rsid w:val="008B0EEA"/>
    <w:rsid w:val="008B0F4D"/>
    <w:rsid w:val="008B11B0"/>
    <w:rsid w:val="008B1BA2"/>
    <w:rsid w:val="008B26E4"/>
    <w:rsid w:val="008B3241"/>
    <w:rsid w:val="008B3291"/>
    <w:rsid w:val="008B382D"/>
    <w:rsid w:val="008B3941"/>
    <w:rsid w:val="008B3FA7"/>
    <w:rsid w:val="008B4087"/>
    <w:rsid w:val="008B429D"/>
    <w:rsid w:val="008B442B"/>
    <w:rsid w:val="008B45A5"/>
    <w:rsid w:val="008B485A"/>
    <w:rsid w:val="008B4F76"/>
    <w:rsid w:val="008B550C"/>
    <w:rsid w:val="008B5524"/>
    <w:rsid w:val="008B59CB"/>
    <w:rsid w:val="008B633F"/>
    <w:rsid w:val="008B6441"/>
    <w:rsid w:val="008B6856"/>
    <w:rsid w:val="008B6B67"/>
    <w:rsid w:val="008C0004"/>
    <w:rsid w:val="008C03D0"/>
    <w:rsid w:val="008C0413"/>
    <w:rsid w:val="008C163F"/>
    <w:rsid w:val="008C1726"/>
    <w:rsid w:val="008C1965"/>
    <w:rsid w:val="008C1C68"/>
    <w:rsid w:val="008C23C9"/>
    <w:rsid w:val="008C2A5D"/>
    <w:rsid w:val="008C2B69"/>
    <w:rsid w:val="008C3442"/>
    <w:rsid w:val="008C4B10"/>
    <w:rsid w:val="008C4ED4"/>
    <w:rsid w:val="008C60E9"/>
    <w:rsid w:val="008C6190"/>
    <w:rsid w:val="008C6E84"/>
    <w:rsid w:val="008C75AA"/>
    <w:rsid w:val="008C75AB"/>
    <w:rsid w:val="008C7F27"/>
    <w:rsid w:val="008D07AE"/>
    <w:rsid w:val="008D10D1"/>
    <w:rsid w:val="008D1112"/>
    <w:rsid w:val="008D135F"/>
    <w:rsid w:val="008D170D"/>
    <w:rsid w:val="008D1888"/>
    <w:rsid w:val="008D1BBF"/>
    <w:rsid w:val="008D263C"/>
    <w:rsid w:val="008D3F4C"/>
    <w:rsid w:val="008D455D"/>
    <w:rsid w:val="008D4DEB"/>
    <w:rsid w:val="008D4EE2"/>
    <w:rsid w:val="008D6D8B"/>
    <w:rsid w:val="008D73A5"/>
    <w:rsid w:val="008D77BB"/>
    <w:rsid w:val="008E042A"/>
    <w:rsid w:val="008E052F"/>
    <w:rsid w:val="008E0741"/>
    <w:rsid w:val="008E08F7"/>
    <w:rsid w:val="008E0A0F"/>
    <w:rsid w:val="008E0BB6"/>
    <w:rsid w:val="008E0FC8"/>
    <w:rsid w:val="008E177D"/>
    <w:rsid w:val="008E1BCA"/>
    <w:rsid w:val="008E1F36"/>
    <w:rsid w:val="008E2382"/>
    <w:rsid w:val="008E2BCB"/>
    <w:rsid w:val="008E2DFD"/>
    <w:rsid w:val="008E2F0E"/>
    <w:rsid w:val="008E3911"/>
    <w:rsid w:val="008E45FE"/>
    <w:rsid w:val="008E4D72"/>
    <w:rsid w:val="008E5342"/>
    <w:rsid w:val="008E6B58"/>
    <w:rsid w:val="008E6CD8"/>
    <w:rsid w:val="008E6DBE"/>
    <w:rsid w:val="008F05B3"/>
    <w:rsid w:val="008F10A7"/>
    <w:rsid w:val="008F12A7"/>
    <w:rsid w:val="008F15B0"/>
    <w:rsid w:val="008F1652"/>
    <w:rsid w:val="008F22AD"/>
    <w:rsid w:val="008F2A8C"/>
    <w:rsid w:val="008F3200"/>
    <w:rsid w:val="008F356E"/>
    <w:rsid w:val="008F372D"/>
    <w:rsid w:val="008F3B08"/>
    <w:rsid w:val="008F41DF"/>
    <w:rsid w:val="008F4787"/>
    <w:rsid w:val="008F4FC3"/>
    <w:rsid w:val="008F5192"/>
    <w:rsid w:val="008F65B6"/>
    <w:rsid w:val="008F6958"/>
    <w:rsid w:val="008F6A9E"/>
    <w:rsid w:val="008F6EED"/>
    <w:rsid w:val="008F7610"/>
    <w:rsid w:val="008F76B9"/>
    <w:rsid w:val="008F76CA"/>
    <w:rsid w:val="0090057C"/>
    <w:rsid w:val="00900F9B"/>
    <w:rsid w:val="00901327"/>
    <w:rsid w:val="00901480"/>
    <w:rsid w:val="00901EDA"/>
    <w:rsid w:val="009020E9"/>
    <w:rsid w:val="00902338"/>
    <w:rsid w:val="0090270D"/>
    <w:rsid w:val="00902935"/>
    <w:rsid w:val="00902F77"/>
    <w:rsid w:val="00903038"/>
    <w:rsid w:val="00903061"/>
    <w:rsid w:val="00903064"/>
    <w:rsid w:val="0090374A"/>
    <w:rsid w:val="00904188"/>
    <w:rsid w:val="0090431F"/>
    <w:rsid w:val="00904537"/>
    <w:rsid w:val="0090483A"/>
    <w:rsid w:val="00904FDA"/>
    <w:rsid w:val="0090509D"/>
    <w:rsid w:val="0090553F"/>
    <w:rsid w:val="00905729"/>
    <w:rsid w:val="00905F8A"/>
    <w:rsid w:val="009064EB"/>
    <w:rsid w:val="00906C5C"/>
    <w:rsid w:val="0090728E"/>
    <w:rsid w:val="00910108"/>
    <w:rsid w:val="009104AA"/>
    <w:rsid w:val="00910780"/>
    <w:rsid w:val="00910E05"/>
    <w:rsid w:val="009112EA"/>
    <w:rsid w:val="009117DC"/>
    <w:rsid w:val="0091180F"/>
    <w:rsid w:val="009119D1"/>
    <w:rsid w:val="00911BCF"/>
    <w:rsid w:val="00911C84"/>
    <w:rsid w:val="00912341"/>
    <w:rsid w:val="00912A8F"/>
    <w:rsid w:val="00912AF9"/>
    <w:rsid w:val="00912FD0"/>
    <w:rsid w:val="009131D2"/>
    <w:rsid w:val="00913AFA"/>
    <w:rsid w:val="009140D0"/>
    <w:rsid w:val="00914455"/>
    <w:rsid w:val="00915B72"/>
    <w:rsid w:val="00915D65"/>
    <w:rsid w:val="00915DDC"/>
    <w:rsid w:val="00915E78"/>
    <w:rsid w:val="00916105"/>
    <w:rsid w:val="00916E7F"/>
    <w:rsid w:val="00916F4A"/>
    <w:rsid w:val="00917279"/>
    <w:rsid w:val="009173E0"/>
    <w:rsid w:val="00917AFE"/>
    <w:rsid w:val="00920310"/>
    <w:rsid w:val="00920581"/>
    <w:rsid w:val="009205E7"/>
    <w:rsid w:val="009206B4"/>
    <w:rsid w:val="00920D37"/>
    <w:rsid w:val="00920D39"/>
    <w:rsid w:val="0092134B"/>
    <w:rsid w:val="00922755"/>
    <w:rsid w:val="00922983"/>
    <w:rsid w:val="00922B49"/>
    <w:rsid w:val="00923034"/>
    <w:rsid w:val="0092356E"/>
    <w:rsid w:val="0092391F"/>
    <w:rsid w:val="00923CA3"/>
    <w:rsid w:val="009241CD"/>
    <w:rsid w:val="00924CC1"/>
    <w:rsid w:val="00924F08"/>
    <w:rsid w:val="00925420"/>
    <w:rsid w:val="0092544F"/>
    <w:rsid w:val="0092546E"/>
    <w:rsid w:val="009259DA"/>
    <w:rsid w:val="0092780E"/>
    <w:rsid w:val="0092786D"/>
    <w:rsid w:val="009300C6"/>
    <w:rsid w:val="009301C4"/>
    <w:rsid w:val="009302A3"/>
    <w:rsid w:val="009305A0"/>
    <w:rsid w:val="00930751"/>
    <w:rsid w:val="009309A1"/>
    <w:rsid w:val="009309A3"/>
    <w:rsid w:val="00930C93"/>
    <w:rsid w:val="009315E1"/>
    <w:rsid w:val="00931626"/>
    <w:rsid w:val="0093214C"/>
    <w:rsid w:val="00932415"/>
    <w:rsid w:val="009325FD"/>
    <w:rsid w:val="0093302B"/>
    <w:rsid w:val="00933368"/>
    <w:rsid w:val="009338FB"/>
    <w:rsid w:val="0093440B"/>
    <w:rsid w:val="00934721"/>
    <w:rsid w:val="00934F9C"/>
    <w:rsid w:val="0093508F"/>
    <w:rsid w:val="0093577B"/>
    <w:rsid w:val="009357E2"/>
    <w:rsid w:val="00935A10"/>
    <w:rsid w:val="00936088"/>
    <w:rsid w:val="0093625D"/>
    <w:rsid w:val="009367D8"/>
    <w:rsid w:val="009367DB"/>
    <w:rsid w:val="00936911"/>
    <w:rsid w:val="0093767B"/>
    <w:rsid w:val="009376D9"/>
    <w:rsid w:val="00937726"/>
    <w:rsid w:val="00937794"/>
    <w:rsid w:val="00940480"/>
    <w:rsid w:val="0094054B"/>
    <w:rsid w:val="00940A1B"/>
    <w:rsid w:val="009420FF"/>
    <w:rsid w:val="0094277C"/>
    <w:rsid w:val="00943664"/>
    <w:rsid w:val="00943E7F"/>
    <w:rsid w:val="009443D5"/>
    <w:rsid w:val="0094485A"/>
    <w:rsid w:val="0094554C"/>
    <w:rsid w:val="00945A15"/>
    <w:rsid w:val="009461CC"/>
    <w:rsid w:val="00946334"/>
    <w:rsid w:val="0094697D"/>
    <w:rsid w:val="00947318"/>
    <w:rsid w:val="00947627"/>
    <w:rsid w:val="0094786E"/>
    <w:rsid w:val="0094794E"/>
    <w:rsid w:val="00947AD7"/>
    <w:rsid w:val="00950F0C"/>
    <w:rsid w:val="0095102F"/>
    <w:rsid w:val="00951714"/>
    <w:rsid w:val="009522C5"/>
    <w:rsid w:val="00953A1C"/>
    <w:rsid w:val="00953C2E"/>
    <w:rsid w:val="009543AA"/>
    <w:rsid w:val="0095462C"/>
    <w:rsid w:val="00954DF6"/>
    <w:rsid w:val="00955C2B"/>
    <w:rsid w:val="00956D80"/>
    <w:rsid w:val="00956E74"/>
    <w:rsid w:val="00956F4B"/>
    <w:rsid w:val="00957129"/>
    <w:rsid w:val="00957545"/>
    <w:rsid w:val="00960491"/>
    <w:rsid w:val="0096053B"/>
    <w:rsid w:val="009618E4"/>
    <w:rsid w:val="00962634"/>
    <w:rsid w:val="00962BF4"/>
    <w:rsid w:val="00963A6D"/>
    <w:rsid w:val="009657AB"/>
    <w:rsid w:val="00965E2F"/>
    <w:rsid w:val="00966A81"/>
    <w:rsid w:val="00966B88"/>
    <w:rsid w:val="00966CE3"/>
    <w:rsid w:val="00966F4B"/>
    <w:rsid w:val="00966F9E"/>
    <w:rsid w:val="00967830"/>
    <w:rsid w:val="009702B5"/>
    <w:rsid w:val="00970343"/>
    <w:rsid w:val="009705A7"/>
    <w:rsid w:val="00970825"/>
    <w:rsid w:val="00970C97"/>
    <w:rsid w:val="00971161"/>
    <w:rsid w:val="009719AC"/>
    <w:rsid w:val="00971B09"/>
    <w:rsid w:val="00971BBC"/>
    <w:rsid w:val="0097274B"/>
    <w:rsid w:val="009729D5"/>
    <w:rsid w:val="00972BAE"/>
    <w:rsid w:val="00973275"/>
    <w:rsid w:val="009735B9"/>
    <w:rsid w:val="00974684"/>
    <w:rsid w:val="00974CD3"/>
    <w:rsid w:val="00975596"/>
    <w:rsid w:val="0097684B"/>
    <w:rsid w:val="00976860"/>
    <w:rsid w:val="00977018"/>
    <w:rsid w:val="009779DD"/>
    <w:rsid w:val="00980A5C"/>
    <w:rsid w:val="00980BCF"/>
    <w:rsid w:val="00980E25"/>
    <w:rsid w:val="009811BF"/>
    <w:rsid w:val="0098218E"/>
    <w:rsid w:val="009829ED"/>
    <w:rsid w:val="0098317F"/>
    <w:rsid w:val="0098378C"/>
    <w:rsid w:val="00983910"/>
    <w:rsid w:val="00983FBB"/>
    <w:rsid w:val="009849B6"/>
    <w:rsid w:val="00985019"/>
    <w:rsid w:val="009853B6"/>
    <w:rsid w:val="009854C4"/>
    <w:rsid w:val="009859A9"/>
    <w:rsid w:val="0098694E"/>
    <w:rsid w:val="00986982"/>
    <w:rsid w:val="009870F4"/>
    <w:rsid w:val="00987133"/>
    <w:rsid w:val="0098725D"/>
    <w:rsid w:val="00987302"/>
    <w:rsid w:val="00987387"/>
    <w:rsid w:val="009873A2"/>
    <w:rsid w:val="00987779"/>
    <w:rsid w:val="009900BC"/>
    <w:rsid w:val="00990AA8"/>
    <w:rsid w:val="00990F12"/>
    <w:rsid w:val="00991597"/>
    <w:rsid w:val="0099168E"/>
    <w:rsid w:val="009921A2"/>
    <w:rsid w:val="009925D7"/>
    <w:rsid w:val="00992A76"/>
    <w:rsid w:val="009935B1"/>
    <w:rsid w:val="009936D8"/>
    <w:rsid w:val="00993F51"/>
    <w:rsid w:val="00994163"/>
    <w:rsid w:val="00994314"/>
    <w:rsid w:val="009943E4"/>
    <w:rsid w:val="0099451D"/>
    <w:rsid w:val="0099529C"/>
    <w:rsid w:val="00995D8A"/>
    <w:rsid w:val="00997970"/>
    <w:rsid w:val="009A019A"/>
    <w:rsid w:val="009A0569"/>
    <w:rsid w:val="009A07BB"/>
    <w:rsid w:val="009A0966"/>
    <w:rsid w:val="009A0D3C"/>
    <w:rsid w:val="009A11B8"/>
    <w:rsid w:val="009A1620"/>
    <w:rsid w:val="009A1741"/>
    <w:rsid w:val="009A18F2"/>
    <w:rsid w:val="009A1FE7"/>
    <w:rsid w:val="009A21C7"/>
    <w:rsid w:val="009A2664"/>
    <w:rsid w:val="009A2693"/>
    <w:rsid w:val="009A2DBD"/>
    <w:rsid w:val="009A3290"/>
    <w:rsid w:val="009A35E0"/>
    <w:rsid w:val="009A36EE"/>
    <w:rsid w:val="009A4147"/>
    <w:rsid w:val="009A4505"/>
    <w:rsid w:val="009A4776"/>
    <w:rsid w:val="009A4FBA"/>
    <w:rsid w:val="009A55F1"/>
    <w:rsid w:val="009A5646"/>
    <w:rsid w:val="009A5B0D"/>
    <w:rsid w:val="009A5C63"/>
    <w:rsid w:val="009A5E57"/>
    <w:rsid w:val="009A62EE"/>
    <w:rsid w:val="009A665C"/>
    <w:rsid w:val="009A68C0"/>
    <w:rsid w:val="009A6CA2"/>
    <w:rsid w:val="009A6E13"/>
    <w:rsid w:val="009A72BD"/>
    <w:rsid w:val="009B0182"/>
    <w:rsid w:val="009B026B"/>
    <w:rsid w:val="009B034E"/>
    <w:rsid w:val="009B03DE"/>
    <w:rsid w:val="009B1613"/>
    <w:rsid w:val="009B1C41"/>
    <w:rsid w:val="009B230E"/>
    <w:rsid w:val="009B2C10"/>
    <w:rsid w:val="009B2DDF"/>
    <w:rsid w:val="009B3CA2"/>
    <w:rsid w:val="009B43BB"/>
    <w:rsid w:val="009B55D5"/>
    <w:rsid w:val="009B56C0"/>
    <w:rsid w:val="009B5F41"/>
    <w:rsid w:val="009B65D3"/>
    <w:rsid w:val="009B710B"/>
    <w:rsid w:val="009C029C"/>
    <w:rsid w:val="009C0495"/>
    <w:rsid w:val="009C0727"/>
    <w:rsid w:val="009C1657"/>
    <w:rsid w:val="009C1D68"/>
    <w:rsid w:val="009C31A4"/>
    <w:rsid w:val="009C363F"/>
    <w:rsid w:val="009C3A64"/>
    <w:rsid w:val="009C4B6F"/>
    <w:rsid w:val="009C5587"/>
    <w:rsid w:val="009C5865"/>
    <w:rsid w:val="009C58D7"/>
    <w:rsid w:val="009C5A3F"/>
    <w:rsid w:val="009C7A70"/>
    <w:rsid w:val="009C7DB6"/>
    <w:rsid w:val="009D0CC2"/>
    <w:rsid w:val="009D1444"/>
    <w:rsid w:val="009D14BC"/>
    <w:rsid w:val="009D16EC"/>
    <w:rsid w:val="009D181F"/>
    <w:rsid w:val="009D1EB0"/>
    <w:rsid w:val="009D30A1"/>
    <w:rsid w:val="009D3818"/>
    <w:rsid w:val="009D38DC"/>
    <w:rsid w:val="009D4268"/>
    <w:rsid w:val="009D46A9"/>
    <w:rsid w:val="009D4AFF"/>
    <w:rsid w:val="009D5A4F"/>
    <w:rsid w:val="009D5D95"/>
    <w:rsid w:val="009D5F9F"/>
    <w:rsid w:val="009D6299"/>
    <w:rsid w:val="009D66BA"/>
    <w:rsid w:val="009D69A4"/>
    <w:rsid w:val="009D70D7"/>
    <w:rsid w:val="009D71B2"/>
    <w:rsid w:val="009D7A27"/>
    <w:rsid w:val="009D7B67"/>
    <w:rsid w:val="009D7F27"/>
    <w:rsid w:val="009E023E"/>
    <w:rsid w:val="009E06AE"/>
    <w:rsid w:val="009E0EA6"/>
    <w:rsid w:val="009E1E8A"/>
    <w:rsid w:val="009E2FFF"/>
    <w:rsid w:val="009E361D"/>
    <w:rsid w:val="009E449B"/>
    <w:rsid w:val="009E4AD4"/>
    <w:rsid w:val="009E5D64"/>
    <w:rsid w:val="009E5F31"/>
    <w:rsid w:val="009E631D"/>
    <w:rsid w:val="009E651C"/>
    <w:rsid w:val="009E70FD"/>
    <w:rsid w:val="009E7981"/>
    <w:rsid w:val="009E7BF2"/>
    <w:rsid w:val="009E7C9E"/>
    <w:rsid w:val="009E7DBD"/>
    <w:rsid w:val="009F02A9"/>
    <w:rsid w:val="009F084B"/>
    <w:rsid w:val="009F1101"/>
    <w:rsid w:val="009F152E"/>
    <w:rsid w:val="009F1816"/>
    <w:rsid w:val="009F1B68"/>
    <w:rsid w:val="009F1BC9"/>
    <w:rsid w:val="009F1C56"/>
    <w:rsid w:val="009F3170"/>
    <w:rsid w:val="009F3858"/>
    <w:rsid w:val="009F3D03"/>
    <w:rsid w:val="009F4622"/>
    <w:rsid w:val="009F464A"/>
    <w:rsid w:val="009F4900"/>
    <w:rsid w:val="009F4E87"/>
    <w:rsid w:val="009F5D81"/>
    <w:rsid w:val="009F6E49"/>
    <w:rsid w:val="009F71B7"/>
    <w:rsid w:val="009F71C4"/>
    <w:rsid w:val="009F7469"/>
    <w:rsid w:val="00A00551"/>
    <w:rsid w:val="00A00BB8"/>
    <w:rsid w:val="00A00CE5"/>
    <w:rsid w:val="00A0110C"/>
    <w:rsid w:val="00A012CB"/>
    <w:rsid w:val="00A015A2"/>
    <w:rsid w:val="00A02565"/>
    <w:rsid w:val="00A02604"/>
    <w:rsid w:val="00A03435"/>
    <w:rsid w:val="00A036D8"/>
    <w:rsid w:val="00A04CB0"/>
    <w:rsid w:val="00A056F5"/>
    <w:rsid w:val="00A06172"/>
    <w:rsid w:val="00A066F2"/>
    <w:rsid w:val="00A07183"/>
    <w:rsid w:val="00A07C54"/>
    <w:rsid w:val="00A07FC0"/>
    <w:rsid w:val="00A10C14"/>
    <w:rsid w:val="00A10E42"/>
    <w:rsid w:val="00A10F32"/>
    <w:rsid w:val="00A1185D"/>
    <w:rsid w:val="00A11BF9"/>
    <w:rsid w:val="00A122C2"/>
    <w:rsid w:val="00A12436"/>
    <w:rsid w:val="00A13286"/>
    <w:rsid w:val="00A13815"/>
    <w:rsid w:val="00A1404F"/>
    <w:rsid w:val="00A1405E"/>
    <w:rsid w:val="00A141EA"/>
    <w:rsid w:val="00A141F1"/>
    <w:rsid w:val="00A14DF3"/>
    <w:rsid w:val="00A15026"/>
    <w:rsid w:val="00A157D0"/>
    <w:rsid w:val="00A158F0"/>
    <w:rsid w:val="00A15E51"/>
    <w:rsid w:val="00A16569"/>
    <w:rsid w:val="00A16BDE"/>
    <w:rsid w:val="00A16F53"/>
    <w:rsid w:val="00A179E0"/>
    <w:rsid w:val="00A20072"/>
    <w:rsid w:val="00A227A4"/>
    <w:rsid w:val="00A2315F"/>
    <w:rsid w:val="00A24853"/>
    <w:rsid w:val="00A252AF"/>
    <w:rsid w:val="00A25815"/>
    <w:rsid w:val="00A25F34"/>
    <w:rsid w:val="00A26813"/>
    <w:rsid w:val="00A269BF"/>
    <w:rsid w:val="00A27228"/>
    <w:rsid w:val="00A273A0"/>
    <w:rsid w:val="00A275EF"/>
    <w:rsid w:val="00A276CE"/>
    <w:rsid w:val="00A2789E"/>
    <w:rsid w:val="00A27D04"/>
    <w:rsid w:val="00A3036D"/>
    <w:rsid w:val="00A30C0F"/>
    <w:rsid w:val="00A31970"/>
    <w:rsid w:val="00A31BCD"/>
    <w:rsid w:val="00A3220C"/>
    <w:rsid w:val="00A32693"/>
    <w:rsid w:val="00A32D8F"/>
    <w:rsid w:val="00A335F2"/>
    <w:rsid w:val="00A33E1B"/>
    <w:rsid w:val="00A348FF"/>
    <w:rsid w:val="00A35544"/>
    <w:rsid w:val="00A3561F"/>
    <w:rsid w:val="00A35C04"/>
    <w:rsid w:val="00A35E52"/>
    <w:rsid w:val="00A37166"/>
    <w:rsid w:val="00A3788E"/>
    <w:rsid w:val="00A4100C"/>
    <w:rsid w:val="00A410FB"/>
    <w:rsid w:val="00A41358"/>
    <w:rsid w:val="00A41F00"/>
    <w:rsid w:val="00A41FD3"/>
    <w:rsid w:val="00A4320B"/>
    <w:rsid w:val="00A4354B"/>
    <w:rsid w:val="00A440DB"/>
    <w:rsid w:val="00A44881"/>
    <w:rsid w:val="00A44F9F"/>
    <w:rsid w:val="00A46630"/>
    <w:rsid w:val="00A46AA7"/>
    <w:rsid w:val="00A46CE3"/>
    <w:rsid w:val="00A47236"/>
    <w:rsid w:val="00A47629"/>
    <w:rsid w:val="00A47822"/>
    <w:rsid w:val="00A47A7B"/>
    <w:rsid w:val="00A501F8"/>
    <w:rsid w:val="00A51598"/>
    <w:rsid w:val="00A521AD"/>
    <w:rsid w:val="00A5230D"/>
    <w:rsid w:val="00A5255F"/>
    <w:rsid w:val="00A52A50"/>
    <w:rsid w:val="00A52B18"/>
    <w:rsid w:val="00A52CA8"/>
    <w:rsid w:val="00A5341C"/>
    <w:rsid w:val="00A53526"/>
    <w:rsid w:val="00A5364F"/>
    <w:rsid w:val="00A53CC1"/>
    <w:rsid w:val="00A54630"/>
    <w:rsid w:val="00A546BB"/>
    <w:rsid w:val="00A5488A"/>
    <w:rsid w:val="00A54EEA"/>
    <w:rsid w:val="00A550FF"/>
    <w:rsid w:val="00A560C6"/>
    <w:rsid w:val="00A566E3"/>
    <w:rsid w:val="00A56E39"/>
    <w:rsid w:val="00A5723E"/>
    <w:rsid w:val="00A574DD"/>
    <w:rsid w:val="00A60CAF"/>
    <w:rsid w:val="00A616E3"/>
    <w:rsid w:val="00A61C07"/>
    <w:rsid w:val="00A64E33"/>
    <w:rsid w:val="00A64E87"/>
    <w:rsid w:val="00A65445"/>
    <w:rsid w:val="00A6590A"/>
    <w:rsid w:val="00A65ACA"/>
    <w:rsid w:val="00A65D4F"/>
    <w:rsid w:val="00A660E4"/>
    <w:rsid w:val="00A6611E"/>
    <w:rsid w:val="00A6636A"/>
    <w:rsid w:val="00A66CB6"/>
    <w:rsid w:val="00A66D89"/>
    <w:rsid w:val="00A67126"/>
    <w:rsid w:val="00A6765B"/>
    <w:rsid w:val="00A67A4A"/>
    <w:rsid w:val="00A7008F"/>
    <w:rsid w:val="00A701AF"/>
    <w:rsid w:val="00A701CF"/>
    <w:rsid w:val="00A70460"/>
    <w:rsid w:val="00A71EA9"/>
    <w:rsid w:val="00A7274A"/>
    <w:rsid w:val="00A73B8D"/>
    <w:rsid w:val="00A73E19"/>
    <w:rsid w:val="00A73F08"/>
    <w:rsid w:val="00A74046"/>
    <w:rsid w:val="00A74C22"/>
    <w:rsid w:val="00A75223"/>
    <w:rsid w:val="00A756C4"/>
    <w:rsid w:val="00A76A6B"/>
    <w:rsid w:val="00A77158"/>
    <w:rsid w:val="00A77367"/>
    <w:rsid w:val="00A774A6"/>
    <w:rsid w:val="00A775D5"/>
    <w:rsid w:val="00A776C3"/>
    <w:rsid w:val="00A80271"/>
    <w:rsid w:val="00A80338"/>
    <w:rsid w:val="00A8072C"/>
    <w:rsid w:val="00A80821"/>
    <w:rsid w:val="00A80ADA"/>
    <w:rsid w:val="00A80E5A"/>
    <w:rsid w:val="00A8132F"/>
    <w:rsid w:val="00A814D0"/>
    <w:rsid w:val="00A81971"/>
    <w:rsid w:val="00A81B15"/>
    <w:rsid w:val="00A820B3"/>
    <w:rsid w:val="00A823CD"/>
    <w:rsid w:val="00A829DD"/>
    <w:rsid w:val="00A8388B"/>
    <w:rsid w:val="00A83C89"/>
    <w:rsid w:val="00A8405D"/>
    <w:rsid w:val="00A847B3"/>
    <w:rsid w:val="00A85DBC"/>
    <w:rsid w:val="00A861FE"/>
    <w:rsid w:val="00A864DE"/>
    <w:rsid w:val="00A870AF"/>
    <w:rsid w:val="00A87FFB"/>
    <w:rsid w:val="00A901CE"/>
    <w:rsid w:val="00A911E9"/>
    <w:rsid w:val="00A91B58"/>
    <w:rsid w:val="00A91DBF"/>
    <w:rsid w:val="00A92329"/>
    <w:rsid w:val="00A92482"/>
    <w:rsid w:val="00A9250F"/>
    <w:rsid w:val="00A92763"/>
    <w:rsid w:val="00A92C62"/>
    <w:rsid w:val="00A92D67"/>
    <w:rsid w:val="00A93808"/>
    <w:rsid w:val="00A93C1A"/>
    <w:rsid w:val="00A943AF"/>
    <w:rsid w:val="00A94541"/>
    <w:rsid w:val="00A94A47"/>
    <w:rsid w:val="00A94A71"/>
    <w:rsid w:val="00A95357"/>
    <w:rsid w:val="00A959CD"/>
    <w:rsid w:val="00A95D35"/>
    <w:rsid w:val="00A961CC"/>
    <w:rsid w:val="00A962D1"/>
    <w:rsid w:val="00A97006"/>
    <w:rsid w:val="00A97083"/>
    <w:rsid w:val="00A97F08"/>
    <w:rsid w:val="00AA0454"/>
    <w:rsid w:val="00AA055C"/>
    <w:rsid w:val="00AA0AB4"/>
    <w:rsid w:val="00AA0B8E"/>
    <w:rsid w:val="00AA127E"/>
    <w:rsid w:val="00AA1A80"/>
    <w:rsid w:val="00AA1ADA"/>
    <w:rsid w:val="00AA1FB4"/>
    <w:rsid w:val="00AA2C7D"/>
    <w:rsid w:val="00AA3079"/>
    <w:rsid w:val="00AA3483"/>
    <w:rsid w:val="00AA477E"/>
    <w:rsid w:val="00AA4EE8"/>
    <w:rsid w:val="00AA4F2D"/>
    <w:rsid w:val="00AA5637"/>
    <w:rsid w:val="00AA596D"/>
    <w:rsid w:val="00AA5992"/>
    <w:rsid w:val="00AA63BB"/>
    <w:rsid w:val="00AA6A71"/>
    <w:rsid w:val="00AA7641"/>
    <w:rsid w:val="00AA79AB"/>
    <w:rsid w:val="00AA7A65"/>
    <w:rsid w:val="00AA7CF1"/>
    <w:rsid w:val="00AB04AF"/>
    <w:rsid w:val="00AB0634"/>
    <w:rsid w:val="00AB1E56"/>
    <w:rsid w:val="00AB23DB"/>
    <w:rsid w:val="00AB297C"/>
    <w:rsid w:val="00AB362F"/>
    <w:rsid w:val="00AB3E08"/>
    <w:rsid w:val="00AB3F4E"/>
    <w:rsid w:val="00AB3FCD"/>
    <w:rsid w:val="00AB5817"/>
    <w:rsid w:val="00AB6584"/>
    <w:rsid w:val="00AB6D13"/>
    <w:rsid w:val="00AB6E69"/>
    <w:rsid w:val="00AB71FD"/>
    <w:rsid w:val="00AB7267"/>
    <w:rsid w:val="00AB776E"/>
    <w:rsid w:val="00AB7939"/>
    <w:rsid w:val="00AC0B1D"/>
    <w:rsid w:val="00AC184B"/>
    <w:rsid w:val="00AC19BC"/>
    <w:rsid w:val="00AC19C7"/>
    <w:rsid w:val="00AC1DE0"/>
    <w:rsid w:val="00AC2647"/>
    <w:rsid w:val="00AC33BB"/>
    <w:rsid w:val="00AC3888"/>
    <w:rsid w:val="00AC4501"/>
    <w:rsid w:val="00AC5074"/>
    <w:rsid w:val="00AC5137"/>
    <w:rsid w:val="00AC5B17"/>
    <w:rsid w:val="00AC66AC"/>
    <w:rsid w:val="00AC7018"/>
    <w:rsid w:val="00AC70B9"/>
    <w:rsid w:val="00AC7449"/>
    <w:rsid w:val="00AC7B79"/>
    <w:rsid w:val="00AD05B0"/>
    <w:rsid w:val="00AD1F34"/>
    <w:rsid w:val="00AD2F48"/>
    <w:rsid w:val="00AD2F74"/>
    <w:rsid w:val="00AD3055"/>
    <w:rsid w:val="00AD3A0B"/>
    <w:rsid w:val="00AD6D0D"/>
    <w:rsid w:val="00AD6E87"/>
    <w:rsid w:val="00AD7469"/>
    <w:rsid w:val="00AD789E"/>
    <w:rsid w:val="00AD7F2A"/>
    <w:rsid w:val="00AE0267"/>
    <w:rsid w:val="00AE0449"/>
    <w:rsid w:val="00AE0D3C"/>
    <w:rsid w:val="00AE0EB8"/>
    <w:rsid w:val="00AE10DF"/>
    <w:rsid w:val="00AE137E"/>
    <w:rsid w:val="00AE2ADB"/>
    <w:rsid w:val="00AE2D0F"/>
    <w:rsid w:val="00AE3123"/>
    <w:rsid w:val="00AE4651"/>
    <w:rsid w:val="00AE4FFB"/>
    <w:rsid w:val="00AE5070"/>
    <w:rsid w:val="00AE5297"/>
    <w:rsid w:val="00AE578C"/>
    <w:rsid w:val="00AE57A7"/>
    <w:rsid w:val="00AE5981"/>
    <w:rsid w:val="00AE6997"/>
    <w:rsid w:val="00AE78E1"/>
    <w:rsid w:val="00AE7A85"/>
    <w:rsid w:val="00AF09CC"/>
    <w:rsid w:val="00AF0D47"/>
    <w:rsid w:val="00AF1343"/>
    <w:rsid w:val="00AF15BD"/>
    <w:rsid w:val="00AF26FC"/>
    <w:rsid w:val="00AF2C6E"/>
    <w:rsid w:val="00AF2E2D"/>
    <w:rsid w:val="00AF2EAD"/>
    <w:rsid w:val="00AF39E8"/>
    <w:rsid w:val="00AF3A0E"/>
    <w:rsid w:val="00AF5046"/>
    <w:rsid w:val="00AF574E"/>
    <w:rsid w:val="00AF6365"/>
    <w:rsid w:val="00AF6B5E"/>
    <w:rsid w:val="00AF6E62"/>
    <w:rsid w:val="00AF7262"/>
    <w:rsid w:val="00AF7557"/>
    <w:rsid w:val="00AF79B1"/>
    <w:rsid w:val="00B004FF"/>
    <w:rsid w:val="00B00639"/>
    <w:rsid w:val="00B00D97"/>
    <w:rsid w:val="00B030BD"/>
    <w:rsid w:val="00B0483D"/>
    <w:rsid w:val="00B05A6F"/>
    <w:rsid w:val="00B06598"/>
    <w:rsid w:val="00B06A53"/>
    <w:rsid w:val="00B06B6F"/>
    <w:rsid w:val="00B06E40"/>
    <w:rsid w:val="00B070A9"/>
    <w:rsid w:val="00B072FB"/>
    <w:rsid w:val="00B073FE"/>
    <w:rsid w:val="00B07FAB"/>
    <w:rsid w:val="00B102A4"/>
    <w:rsid w:val="00B108C0"/>
    <w:rsid w:val="00B10A14"/>
    <w:rsid w:val="00B10A47"/>
    <w:rsid w:val="00B10FF7"/>
    <w:rsid w:val="00B11292"/>
    <w:rsid w:val="00B1132D"/>
    <w:rsid w:val="00B116A2"/>
    <w:rsid w:val="00B117FA"/>
    <w:rsid w:val="00B11898"/>
    <w:rsid w:val="00B119F3"/>
    <w:rsid w:val="00B11FB1"/>
    <w:rsid w:val="00B13152"/>
    <w:rsid w:val="00B138AC"/>
    <w:rsid w:val="00B13B7D"/>
    <w:rsid w:val="00B1405F"/>
    <w:rsid w:val="00B1563F"/>
    <w:rsid w:val="00B15642"/>
    <w:rsid w:val="00B156A4"/>
    <w:rsid w:val="00B16340"/>
    <w:rsid w:val="00B16F26"/>
    <w:rsid w:val="00B175E9"/>
    <w:rsid w:val="00B1773B"/>
    <w:rsid w:val="00B177E5"/>
    <w:rsid w:val="00B17DAA"/>
    <w:rsid w:val="00B20319"/>
    <w:rsid w:val="00B20721"/>
    <w:rsid w:val="00B20E7E"/>
    <w:rsid w:val="00B20EED"/>
    <w:rsid w:val="00B21FA9"/>
    <w:rsid w:val="00B2219F"/>
    <w:rsid w:val="00B2225C"/>
    <w:rsid w:val="00B227D2"/>
    <w:rsid w:val="00B23252"/>
    <w:rsid w:val="00B23888"/>
    <w:rsid w:val="00B23CBD"/>
    <w:rsid w:val="00B23EC7"/>
    <w:rsid w:val="00B24A03"/>
    <w:rsid w:val="00B24D10"/>
    <w:rsid w:val="00B250E1"/>
    <w:rsid w:val="00B252AA"/>
    <w:rsid w:val="00B25345"/>
    <w:rsid w:val="00B253A6"/>
    <w:rsid w:val="00B256FD"/>
    <w:rsid w:val="00B2582A"/>
    <w:rsid w:val="00B26901"/>
    <w:rsid w:val="00B26F26"/>
    <w:rsid w:val="00B27959"/>
    <w:rsid w:val="00B27F9F"/>
    <w:rsid w:val="00B300C3"/>
    <w:rsid w:val="00B3069B"/>
    <w:rsid w:val="00B308D6"/>
    <w:rsid w:val="00B31383"/>
    <w:rsid w:val="00B3269E"/>
    <w:rsid w:val="00B33106"/>
    <w:rsid w:val="00B3368A"/>
    <w:rsid w:val="00B33784"/>
    <w:rsid w:val="00B342FF"/>
    <w:rsid w:val="00B34E41"/>
    <w:rsid w:val="00B35B1F"/>
    <w:rsid w:val="00B35B24"/>
    <w:rsid w:val="00B363DD"/>
    <w:rsid w:val="00B36628"/>
    <w:rsid w:val="00B37262"/>
    <w:rsid w:val="00B37404"/>
    <w:rsid w:val="00B379D8"/>
    <w:rsid w:val="00B40BC4"/>
    <w:rsid w:val="00B40E4F"/>
    <w:rsid w:val="00B414B9"/>
    <w:rsid w:val="00B4173C"/>
    <w:rsid w:val="00B41927"/>
    <w:rsid w:val="00B41AF8"/>
    <w:rsid w:val="00B421B9"/>
    <w:rsid w:val="00B426BB"/>
    <w:rsid w:val="00B42727"/>
    <w:rsid w:val="00B42F15"/>
    <w:rsid w:val="00B43442"/>
    <w:rsid w:val="00B45109"/>
    <w:rsid w:val="00B45129"/>
    <w:rsid w:val="00B451B8"/>
    <w:rsid w:val="00B45D88"/>
    <w:rsid w:val="00B463E5"/>
    <w:rsid w:val="00B465B4"/>
    <w:rsid w:val="00B47BE5"/>
    <w:rsid w:val="00B47D11"/>
    <w:rsid w:val="00B50349"/>
    <w:rsid w:val="00B50BAA"/>
    <w:rsid w:val="00B50EED"/>
    <w:rsid w:val="00B51542"/>
    <w:rsid w:val="00B517D5"/>
    <w:rsid w:val="00B51B0C"/>
    <w:rsid w:val="00B51B0F"/>
    <w:rsid w:val="00B51F4D"/>
    <w:rsid w:val="00B52AA2"/>
    <w:rsid w:val="00B52B4B"/>
    <w:rsid w:val="00B52E63"/>
    <w:rsid w:val="00B52FA9"/>
    <w:rsid w:val="00B531C5"/>
    <w:rsid w:val="00B5357A"/>
    <w:rsid w:val="00B53E58"/>
    <w:rsid w:val="00B54468"/>
    <w:rsid w:val="00B548FB"/>
    <w:rsid w:val="00B5499D"/>
    <w:rsid w:val="00B54D1A"/>
    <w:rsid w:val="00B552B5"/>
    <w:rsid w:val="00B5683E"/>
    <w:rsid w:val="00B572D6"/>
    <w:rsid w:val="00B57DCA"/>
    <w:rsid w:val="00B57F00"/>
    <w:rsid w:val="00B604D4"/>
    <w:rsid w:val="00B60849"/>
    <w:rsid w:val="00B609D8"/>
    <w:rsid w:val="00B611A5"/>
    <w:rsid w:val="00B6188D"/>
    <w:rsid w:val="00B61A32"/>
    <w:rsid w:val="00B61C74"/>
    <w:rsid w:val="00B626A6"/>
    <w:rsid w:val="00B62CD7"/>
    <w:rsid w:val="00B62D16"/>
    <w:rsid w:val="00B632AC"/>
    <w:rsid w:val="00B63599"/>
    <w:rsid w:val="00B6359C"/>
    <w:rsid w:val="00B63BE1"/>
    <w:rsid w:val="00B6460F"/>
    <w:rsid w:val="00B64BF9"/>
    <w:rsid w:val="00B64E5F"/>
    <w:rsid w:val="00B64E65"/>
    <w:rsid w:val="00B65011"/>
    <w:rsid w:val="00B65B4D"/>
    <w:rsid w:val="00B66265"/>
    <w:rsid w:val="00B664FC"/>
    <w:rsid w:val="00B66CF3"/>
    <w:rsid w:val="00B670E7"/>
    <w:rsid w:val="00B6798D"/>
    <w:rsid w:val="00B67E76"/>
    <w:rsid w:val="00B71628"/>
    <w:rsid w:val="00B71C6C"/>
    <w:rsid w:val="00B723BE"/>
    <w:rsid w:val="00B7313E"/>
    <w:rsid w:val="00B731FC"/>
    <w:rsid w:val="00B73292"/>
    <w:rsid w:val="00B739F7"/>
    <w:rsid w:val="00B73A70"/>
    <w:rsid w:val="00B73E49"/>
    <w:rsid w:val="00B757F8"/>
    <w:rsid w:val="00B75BCF"/>
    <w:rsid w:val="00B767A9"/>
    <w:rsid w:val="00B76818"/>
    <w:rsid w:val="00B76D86"/>
    <w:rsid w:val="00B77C93"/>
    <w:rsid w:val="00B80374"/>
    <w:rsid w:val="00B809A2"/>
    <w:rsid w:val="00B80A82"/>
    <w:rsid w:val="00B80F90"/>
    <w:rsid w:val="00B8139B"/>
    <w:rsid w:val="00B8204C"/>
    <w:rsid w:val="00B82065"/>
    <w:rsid w:val="00B82204"/>
    <w:rsid w:val="00B824BF"/>
    <w:rsid w:val="00B82D4A"/>
    <w:rsid w:val="00B837F3"/>
    <w:rsid w:val="00B840C0"/>
    <w:rsid w:val="00B8446C"/>
    <w:rsid w:val="00B8466E"/>
    <w:rsid w:val="00B84D29"/>
    <w:rsid w:val="00B85AAD"/>
    <w:rsid w:val="00B85EF6"/>
    <w:rsid w:val="00B86087"/>
    <w:rsid w:val="00B86533"/>
    <w:rsid w:val="00B8693F"/>
    <w:rsid w:val="00B86B03"/>
    <w:rsid w:val="00B86F35"/>
    <w:rsid w:val="00B87647"/>
    <w:rsid w:val="00B87903"/>
    <w:rsid w:val="00B87B6C"/>
    <w:rsid w:val="00B87CE1"/>
    <w:rsid w:val="00B87FC9"/>
    <w:rsid w:val="00B90C99"/>
    <w:rsid w:val="00B910FF"/>
    <w:rsid w:val="00B91168"/>
    <w:rsid w:val="00B91545"/>
    <w:rsid w:val="00B91AEC"/>
    <w:rsid w:val="00B939E2"/>
    <w:rsid w:val="00B93C29"/>
    <w:rsid w:val="00B93F0E"/>
    <w:rsid w:val="00B94742"/>
    <w:rsid w:val="00B94E85"/>
    <w:rsid w:val="00B95577"/>
    <w:rsid w:val="00B95BFE"/>
    <w:rsid w:val="00B96889"/>
    <w:rsid w:val="00B96897"/>
    <w:rsid w:val="00B968D3"/>
    <w:rsid w:val="00B96C7F"/>
    <w:rsid w:val="00B970F2"/>
    <w:rsid w:val="00B97466"/>
    <w:rsid w:val="00B9767A"/>
    <w:rsid w:val="00B97BA1"/>
    <w:rsid w:val="00B97C6A"/>
    <w:rsid w:val="00BA0263"/>
    <w:rsid w:val="00BA0324"/>
    <w:rsid w:val="00BA0737"/>
    <w:rsid w:val="00BA09CC"/>
    <w:rsid w:val="00BA11E6"/>
    <w:rsid w:val="00BA2420"/>
    <w:rsid w:val="00BA34AB"/>
    <w:rsid w:val="00BA39EF"/>
    <w:rsid w:val="00BA3A77"/>
    <w:rsid w:val="00BA3B90"/>
    <w:rsid w:val="00BA403D"/>
    <w:rsid w:val="00BA41ED"/>
    <w:rsid w:val="00BA4D10"/>
    <w:rsid w:val="00BA5414"/>
    <w:rsid w:val="00BA5724"/>
    <w:rsid w:val="00BA5C97"/>
    <w:rsid w:val="00BA6097"/>
    <w:rsid w:val="00BA67B9"/>
    <w:rsid w:val="00BA67FA"/>
    <w:rsid w:val="00BA6C79"/>
    <w:rsid w:val="00BA6C82"/>
    <w:rsid w:val="00BA6F2C"/>
    <w:rsid w:val="00BA769D"/>
    <w:rsid w:val="00BB0666"/>
    <w:rsid w:val="00BB0DE2"/>
    <w:rsid w:val="00BB124A"/>
    <w:rsid w:val="00BB1358"/>
    <w:rsid w:val="00BB142C"/>
    <w:rsid w:val="00BB169F"/>
    <w:rsid w:val="00BB170C"/>
    <w:rsid w:val="00BB2088"/>
    <w:rsid w:val="00BB211C"/>
    <w:rsid w:val="00BB2603"/>
    <w:rsid w:val="00BB27FD"/>
    <w:rsid w:val="00BB341D"/>
    <w:rsid w:val="00BB3DBB"/>
    <w:rsid w:val="00BB3FE2"/>
    <w:rsid w:val="00BB4625"/>
    <w:rsid w:val="00BB4D6E"/>
    <w:rsid w:val="00BB5041"/>
    <w:rsid w:val="00BB50EB"/>
    <w:rsid w:val="00BB530E"/>
    <w:rsid w:val="00BB5F3D"/>
    <w:rsid w:val="00BB6015"/>
    <w:rsid w:val="00BB6469"/>
    <w:rsid w:val="00BB6AFA"/>
    <w:rsid w:val="00BB6C4E"/>
    <w:rsid w:val="00BB71F9"/>
    <w:rsid w:val="00BB7532"/>
    <w:rsid w:val="00BB7534"/>
    <w:rsid w:val="00BB772A"/>
    <w:rsid w:val="00BB7A7D"/>
    <w:rsid w:val="00BC0F87"/>
    <w:rsid w:val="00BC1001"/>
    <w:rsid w:val="00BC14FA"/>
    <w:rsid w:val="00BC1590"/>
    <w:rsid w:val="00BC2765"/>
    <w:rsid w:val="00BC298C"/>
    <w:rsid w:val="00BC2AC3"/>
    <w:rsid w:val="00BC2B25"/>
    <w:rsid w:val="00BC44E1"/>
    <w:rsid w:val="00BC4B45"/>
    <w:rsid w:val="00BC584E"/>
    <w:rsid w:val="00BC599B"/>
    <w:rsid w:val="00BC5BFA"/>
    <w:rsid w:val="00BC62CA"/>
    <w:rsid w:val="00BC6CA4"/>
    <w:rsid w:val="00BC71A7"/>
    <w:rsid w:val="00BC7C82"/>
    <w:rsid w:val="00BC7E67"/>
    <w:rsid w:val="00BD0420"/>
    <w:rsid w:val="00BD07F0"/>
    <w:rsid w:val="00BD0C9E"/>
    <w:rsid w:val="00BD10C9"/>
    <w:rsid w:val="00BD195D"/>
    <w:rsid w:val="00BD21A3"/>
    <w:rsid w:val="00BD2DC3"/>
    <w:rsid w:val="00BD3486"/>
    <w:rsid w:val="00BD3B58"/>
    <w:rsid w:val="00BD3BA2"/>
    <w:rsid w:val="00BD3E1D"/>
    <w:rsid w:val="00BD3FE6"/>
    <w:rsid w:val="00BD4572"/>
    <w:rsid w:val="00BD49B4"/>
    <w:rsid w:val="00BD4D00"/>
    <w:rsid w:val="00BD52F5"/>
    <w:rsid w:val="00BD564D"/>
    <w:rsid w:val="00BD5A55"/>
    <w:rsid w:val="00BD5C60"/>
    <w:rsid w:val="00BD5CF1"/>
    <w:rsid w:val="00BD6500"/>
    <w:rsid w:val="00BD6697"/>
    <w:rsid w:val="00BD67BA"/>
    <w:rsid w:val="00BD6F7A"/>
    <w:rsid w:val="00BD782E"/>
    <w:rsid w:val="00BD7831"/>
    <w:rsid w:val="00BD78A8"/>
    <w:rsid w:val="00BD791E"/>
    <w:rsid w:val="00BD7A45"/>
    <w:rsid w:val="00BD7CF9"/>
    <w:rsid w:val="00BE017F"/>
    <w:rsid w:val="00BE1356"/>
    <w:rsid w:val="00BE1360"/>
    <w:rsid w:val="00BE1470"/>
    <w:rsid w:val="00BE1E4E"/>
    <w:rsid w:val="00BE2147"/>
    <w:rsid w:val="00BE2152"/>
    <w:rsid w:val="00BE2296"/>
    <w:rsid w:val="00BE2338"/>
    <w:rsid w:val="00BE2664"/>
    <w:rsid w:val="00BE2F57"/>
    <w:rsid w:val="00BE3E91"/>
    <w:rsid w:val="00BE42B7"/>
    <w:rsid w:val="00BE5643"/>
    <w:rsid w:val="00BE5A29"/>
    <w:rsid w:val="00BE5D7F"/>
    <w:rsid w:val="00BE6B33"/>
    <w:rsid w:val="00BE6ED6"/>
    <w:rsid w:val="00BE7DB4"/>
    <w:rsid w:val="00BF0158"/>
    <w:rsid w:val="00BF092F"/>
    <w:rsid w:val="00BF1774"/>
    <w:rsid w:val="00BF1F30"/>
    <w:rsid w:val="00BF25C2"/>
    <w:rsid w:val="00BF2CD7"/>
    <w:rsid w:val="00BF3371"/>
    <w:rsid w:val="00BF3670"/>
    <w:rsid w:val="00BF3C36"/>
    <w:rsid w:val="00BF3D0C"/>
    <w:rsid w:val="00BF5368"/>
    <w:rsid w:val="00BF5950"/>
    <w:rsid w:val="00BF5D84"/>
    <w:rsid w:val="00BF61CA"/>
    <w:rsid w:val="00BF649D"/>
    <w:rsid w:val="00BF6E91"/>
    <w:rsid w:val="00BF6F01"/>
    <w:rsid w:val="00BF75C6"/>
    <w:rsid w:val="00C010B2"/>
    <w:rsid w:val="00C01348"/>
    <w:rsid w:val="00C0159C"/>
    <w:rsid w:val="00C0163E"/>
    <w:rsid w:val="00C01771"/>
    <w:rsid w:val="00C018EE"/>
    <w:rsid w:val="00C020A2"/>
    <w:rsid w:val="00C02377"/>
    <w:rsid w:val="00C0261C"/>
    <w:rsid w:val="00C026C4"/>
    <w:rsid w:val="00C02E33"/>
    <w:rsid w:val="00C03123"/>
    <w:rsid w:val="00C051EB"/>
    <w:rsid w:val="00C05249"/>
    <w:rsid w:val="00C05428"/>
    <w:rsid w:val="00C05B50"/>
    <w:rsid w:val="00C060BB"/>
    <w:rsid w:val="00C064CF"/>
    <w:rsid w:val="00C06A63"/>
    <w:rsid w:val="00C06D06"/>
    <w:rsid w:val="00C06E0B"/>
    <w:rsid w:val="00C06FC1"/>
    <w:rsid w:val="00C075C0"/>
    <w:rsid w:val="00C0761B"/>
    <w:rsid w:val="00C07B85"/>
    <w:rsid w:val="00C1036F"/>
    <w:rsid w:val="00C10928"/>
    <w:rsid w:val="00C11304"/>
    <w:rsid w:val="00C116D3"/>
    <w:rsid w:val="00C120DC"/>
    <w:rsid w:val="00C12219"/>
    <w:rsid w:val="00C12583"/>
    <w:rsid w:val="00C130F8"/>
    <w:rsid w:val="00C13326"/>
    <w:rsid w:val="00C1341E"/>
    <w:rsid w:val="00C13A66"/>
    <w:rsid w:val="00C13AC5"/>
    <w:rsid w:val="00C15A6B"/>
    <w:rsid w:val="00C1603E"/>
    <w:rsid w:val="00C1625D"/>
    <w:rsid w:val="00C16577"/>
    <w:rsid w:val="00C1708E"/>
    <w:rsid w:val="00C17EF9"/>
    <w:rsid w:val="00C20175"/>
    <w:rsid w:val="00C2017F"/>
    <w:rsid w:val="00C202FB"/>
    <w:rsid w:val="00C20E66"/>
    <w:rsid w:val="00C212C3"/>
    <w:rsid w:val="00C22FB5"/>
    <w:rsid w:val="00C23637"/>
    <w:rsid w:val="00C2366B"/>
    <w:rsid w:val="00C236F1"/>
    <w:rsid w:val="00C24231"/>
    <w:rsid w:val="00C25233"/>
    <w:rsid w:val="00C253B9"/>
    <w:rsid w:val="00C2551A"/>
    <w:rsid w:val="00C260B5"/>
    <w:rsid w:val="00C26DF7"/>
    <w:rsid w:val="00C27716"/>
    <w:rsid w:val="00C30821"/>
    <w:rsid w:val="00C30C4E"/>
    <w:rsid w:val="00C31006"/>
    <w:rsid w:val="00C311D6"/>
    <w:rsid w:val="00C31471"/>
    <w:rsid w:val="00C31740"/>
    <w:rsid w:val="00C318DF"/>
    <w:rsid w:val="00C318E4"/>
    <w:rsid w:val="00C32236"/>
    <w:rsid w:val="00C3230E"/>
    <w:rsid w:val="00C3260F"/>
    <w:rsid w:val="00C32F63"/>
    <w:rsid w:val="00C339BC"/>
    <w:rsid w:val="00C33D11"/>
    <w:rsid w:val="00C33F2D"/>
    <w:rsid w:val="00C34758"/>
    <w:rsid w:val="00C34C65"/>
    <w:rsid w:val="00C359F8"/>
    <w:rsid w:val="00C35B1F"/>
    <w:rsid w:val="00C360E8"/>
    <w:rsid w:val="00C367EE"/>
    <w:rsid w:val="00C3761D"/>
    <w:rsid w:val="00C37CD2"/>
    <w:rsid w:val="00C40750"/>
    <w:rsid w:val="00C407C6"/>
    <w:rsid w:val="00C4082C"/>
    <w:rsid w:val="00C41018"/>
    <w:rsid w:val="00C416E5"/>
    <w:rsid w:val="00C41799"/>
    <w:rsid w:val="00C42FBD"/>
    <w:rsid w:val="00C431C6"/>
    <w:rsid w:val="00C434AB"/>
    <w:rsid w:val="00C43B1D"/>
    <w:rsid w:val="00C43F56"/>
    <w:rsid w:val="00C4409B"/>
    <w:rsid w:val="00C44DA3"/>
    <w:rsid w:val="00C44E71"/>
    <w:rsid w:val="00C44F8E"/>
    <w:rsid w:val="00C458C4"/>
    <w:rsid w:val="00C460C9"/>
    <w:rsid w:val="00C46D48"/>
    <w:rsid w:val="00C4727B"/>
    <w:rsid w:val="00C47E19"/>
    <w:rsid w:val="00C47FB1"/>
    <w:rsid w:val="00C50074"/>
    <w:rsid w:val="00C50351"/>
    <w:rsid w:val="00C50D01"/>
    <w:rsid w:val="00C514EC"/>
    <w:rsid w:val="00C51777"/>
    <w:rsid w:val="00C51A50"/>
    <w:rsid w:val="00C520AC"/>
    <w:rsid w:val="00C52BDA"/>
    <w:rsid w:val="00C53C08"/>
    <w:rsid w:val="00C54880"/>
    <w:rsid w:val="00C54A1A"/>
    <w:rsid w:val="00C55329"/>
    <w:rsid w:val="00C55996"/>
    <w:rsid w:val="00C559F4"/>
    <w:rsid w:val="00C55A94"/>
    <w:rsid w:val="00C55C50"/>
    <w:rsid w:val="00C5660B"/>
    <w:rsid w:val="00C56718"/>
    <w:rsid w:val="00C5678F"/>
    <w:rsid w:val="00C569BE"/>
    <w:rsid w:val="00C569E0"/>
    <w:rsid w:val="00C56A12"/>
    <w:rsid w:val="00C57DA8"/>
    <w:rsid w:val="00C60152"/>
    <w:rsid w:val="00C6034C"/>
    <w:rsid w:val="00C60C07"/>
    <w:rsid w:val="00C61548"/>
    <w:rsid w:val="00C6160F"/>
    <w:rsid w:val="00C62178"/>
    <w:rsid w:val="00C621D0"/>
    <w:rsid w:val="00C628B2"/>
    <w:rsid w:val="00C62BE9"/>
    <w:rsid w:val="00C63351"/>
    <w:rsid w:val="00C6403E"/>
    <w:rsid w:val="00C65229"/>
    <w:rsid w:val="00C657D0"/>
    <w:rsid w:val="00C657D7"/>
    <w:rsid w:val="00C659C4"/>
    <w:rsid w:val="00C65EDC"/>
    <w:rsid w:val="00C65EFE"/>
    <w:rsid w:val="00C66897"/>
    <w:rsid w:val="00C67175"/>
    <w:rsid w:val="00C67D8F"/>
    <w:rsid w:val="00C70595"/>
    <w:rsid w:val="00C706BC"/>
    <w:rsid w:val="00C7113C"/>
    <w:rsid w:val="00C712AD"/>
    <w:rsid w:val="00C713CC"/>
    <w:rsid w:val="00C71EA8"/>
    <w:rsid w:val="00C7254C"/>
    <w:rsid w:val="00C72690"/>
    <w:rsid w:val="00C72731"/>
    <w:rsid w:val="00C727A7"/>
    <w:rsid w:val="00C732C8"/>
    <w:rsid w:val="00C732F9"/>
    <w:rsid w:val="00C73AFE"/>
    <w:rsid w:val="00C753ED"/>
    <w:rsid w:val="00C7545D"/>
    <w:rsid w:val="00C757DB"/>
    <w:rsid w:val="00C75F8E"/>
    <w:rsid w:val="00C76742"/>
    <w:rsid w:val="00C76AC8"/>
    <w:rsid w:val="00C773D8"/>
    <w:rsid w:val="00C778F4"/>
    <w:rsid w:val="00C77AE7"/>
    <w:rsid w:val="00C77B8E"/>
    <w:rsid w:val="00C81936"/>
    <w:rsid w:val="00C81965"/>
    <w:rsid w:val="00C81C0C"/>
    <w:rsid w:val="00C81CCF"/>
    <w:rsid w:val="00C81DF2"/>
    <w:rsid w:val="00C81E2C"/>
    <w:rsid w:val="00C81F3B"/>
    <w:rsid w:val="00C82686"/>
    <w:rsid w:val="00C82693"/>
    <w:rsid w:val="00C82860"/>
    <w:rsid w:val="00C82DE5"/>
    <w:rsid w:val="00C83B1B"/>
    <w:rsid w:val="00C83C97"/>
    <w:rsid w:val="00C84722"/>
    <w:rsid w:val="00C847E7"/>
    <w:rsid w:val="00C84805"/>
    <w:rsid w:val="00C8492D"/>
    <w:rsid w:val="00C84954"/>
    <w:rsid w:val="00C851A9"/>
    <w:rsid w:val="00C85539"/>
    <w:rsid w:val="00C85BE3"/>
    <w:rsid w:val="00C8645B"/>
    <w:rsid w:val="00C9025F"/>
    <w:rsid w:val="00C90B47"/>
    <w:rsid w:val="00C90B6D"/>
    <w:rsid w:val="00C91127"/>
    <w:rsid w:val="00C91CE0"/>
    <w:rsid w:val="00C91CE1"/>
    <w:rsid w:val="00C92554"/>
    <w:rsid w:val="00C92A3B"/>
    <w:rsid w:val="00C92E43"/>
    <w:rsid w:val="00C934F0"/>
    <w:rsid w:val="00C93583"/>
    <w:rsid w:val="00C9360C"/>
    <w:rsid w:val="00C936A5"/>
    <w:rsid w:val="00C93BAB"/>
    <w:rsid w:val="00C942F0"/>
    <w:rsid w:val="00C9464E"/>
    <w:rsid w:val="00C94C98"/>
    <w:rsid w:val="00C950D4"/>
    <w:rsid w:val="00C95A1D"/>
    <w:rsid w:val="00C95BEB"/>
    <w:rsid w:val="00C960F6"/>
    <w:rsid w:val="00C966AB"/>
    <w:rsid w:val="00C96A8B"/>
    <w:rsid w:val="00C96B4E"/>
    <w:rsid w:val="00C96BA3"/>
    <w:rsid w:val="00C96D27"/>
    <w:rsid w:val="00C97050"/>
    <w:rsid w:val="00C973E3"/>
    <w:rsid w:val="00C97FA2"/>
    <w:rsid w:val="00CA04EC"/>
    <w:rsid w:val="00CA051C"/>
    <w:rsid w:val="00CA066B"/>
    <w:rsid w:val="00CA0989"/>
    <w:rsid w:val="00CA1039"/>
    <w:rsid w:val="00CA1144"/>
    <w:rsid w:val="00CA19F7"/>
    <w:rsid w:val="00CA2C09"/>
    <w:rsid w:val="00CA394C"/>
    <w:rsid w:val="00CA44AD"/>
    <w:rsid w:val="00CA4A55"/>
    <w:rsid w:val="00CA4F52"/>
    <w:rsid w:val="00CA55E0"/>
    <w:rsid w:val="00CA5E21"/>
    <w:rsid w:val="00CA602F"/>
    <w:rsid w:val="00CA7F36"/>
    <w:rsid w:val="00CB007C"/>
    <w:rsid w:val="00CB044C"/>
    <w:rsid w:val="00CB0504"/>
    <w:rsid w:val="00CB061E"/>
    <w:rsid w:val="00CB113A"/>
    <w:rsid w:val="00CB1321"/>
    <w:rsid w:val="00CB1BC3"/>
    <w:rsid w:val="00CB1DFD"/>
    <w:rsid w:val="00CB25EC"/>
    <w:rsid w:val="00CB2611"/>
    <w:rsid w:val="00CB3B85"/>
    <w:rsid w:val="00CB4372"/>
    <w:rsid w:val="00CB5705"/>
    <w:rsid w:val="00CB5A7C"/>
    <w:rsid w:val="00CB5F56"/>
    <w:rsid w:val="00CB6794"/>
    <w:rsid w:val="00CB7423"/>
    <w:rsid w:val="00CC052F"/>
    <w:rsid w:val="00CC05FC"/>
    <w:rsid w:val="00CC0640"/>
    <w:rsid w:val="00CC0747"/>
    <w:rsid w:val="00CC0FC8"/>
    <w:rsid w:val="00CC1553"/>
    <w:rsid w:val="00CC2786"/>
    <w:rsid w:val="00CC2B21"/>
    <w:rsid w:val="00CC2E43"/>
    <w:rsid w:val="00CC2F7E"/>
    <w:rsid w:val="00CC34AB"/>
    <w:rsid w:val="00CC4CF9"/>
    <w:rsid w:val="00CC4DE1"/>
    <w:rsid w:val="00CC4E80"/>
    <w:rsid w:val="00CC506A"/>
    <w:rsid w:val="00CC6210"/>
    <w:rsid w:val="00CC6485"/>
    <w:rsid w:val="00CC6DBA"/>
    <w:rsid w:val="00CC74A1"/>
    <w:rsid w:val="00CC783D"/>
    <w:rsid w:val="00CD010B"/>
    <w:rsid w:val="00CD230D"/>
    <w:rsid w:val="00CD26E8"/>
    <w:rsid w:val="00CD2781"/>
    <w:rsid w:val="00CD2E36"/>
    <w:rsid w:val="00CD33AC"/>
    <w:rsid w:val="00CD35D7"/>
    <w:rsid w:val="00CD39F9"/>
    <w:rsid w:val="00CD4528"/>
    <w:rsid w:val="00CD4F82"/>
    <w:rsid w:val="00CD5028"/>
    <w:rsid w:val="00CD53D7"/>
    <w:rsid w:val="00CD55F2"/>
    <w:rsid w:val="00CD6646"/>
    <w:rsid w:val="00CD6D8A"/>
    <w:rsid w:val="00CD70E4"/>
    <w:rsid w:val="00CD7889"/>
    <w:rsid w:val="00CD7CDE"/>
    <w:rsid w:val="00CE053B"/>
    <w:rsid w:val="00CE05F2"/>
    <w:rsid w:val="00CE0884"/>
    <w:rsid w:val="00CE09A3"/>
    <w:rsid w:val="00CE0A3F"/>
    <w:rsid w:val="00CE1152"/>
    <w:rsid w:val="00CE27B1"/>
    <w:rsid w:val="00CE2B84"/>
    <w:rsid w:val="00CE30A4"/>
    <w:rsid w:val="00CE3826"/>
    <w:rsid w:val="00CE3B9C"/>
    <w:rsid w:val="00CE3C2C"/>
    <w:rsid w:val="00CE3F09"/>
    <w:rsid w:val="00CE4360"/>
    <w:rsid w:val="00CE4C83"/>
    <w:rsid w:val="00CE4E36"/>
    <w:rsid w:val="00CE4F59"/>
    <w:rsid w:val="00CE5900"/>
    <w:rsid w:val="00CE5DFC"/>
    <w:rsid w:val="00CE5E6A"/>
    <w:rsid w:val="00CE6854"/>
    <w:rsid w:val="00CE7271"/>
    <w:rsid w:val="00CE7B34"/>
    <w:rsid w:val="00CE7B9B"/>
    <w:rsid w:val="00CE7BC5"/>
    <w:rsid w:val="00CE7D66"/>
    <w:rsid w:val="00CF0226"/>
    <w:rsid w:val="00CF05C7"/>
    <w:rsid w:val="00CF1B80"/>
    <w:rsid w:val="00CF1FE3"/>
    <w:rsid w:val="00CF24DA"/>
    <w:rsid w:val="00CF2B87"/>
    <w:rsid w:val="00CF35F4"/>
    <w:rsid w:val="00CF46E4"/>
    <w:rsid w:val="00CF47F2"/>
    <w:rsid w:val="00CF4D02"/>
    <w:rsid w:val="00CF4DC6"/>
    <w:rsid w:val="00CF675E"/>
    <w:rsid w:val="00CF68F9"/>
    <w:rsid w:val="00CF74E1"/>
    <w:rsid w:val="00D017F3"/>
    <w:rsid w:val="00D0197A"/>
    <w:rsid w:val="00D01FC3"/>
    <w:rsid w:val="00D03382"/>
    <w:rsid w:val="00D0364D"/>
    <w:rsid w:val="00D03746"/>
    <w:rsid w:val="00D0414F"/>
    <w:rsid w:val="00D04356"/>
    <w:rsid w:val="00D04429"/>
    <w:rsid w:val="00D05D62"/>
    <w:rsid w:val="00D05D8B"/>
    <w:rsid w:val="00D07543"/>
    <w:rsid w:val="00D07663"/>
    <w:rsid w:val="00D07AD9"/>
    <w:rsid w:val="00D07F0A"/>
    <w:rsid w:val="00D10B52"/>
    <w:rsid w:val="00D10B98"/>
    <w:rsid w:val="00D11107"/>
    <w:rsid w:val="00D117F0"/>
    <w:rsid w:val="00D11E51"/>
    <w:rsid w:val="00D124E0"/>
    <w:rsid w:val="00D1279D"/>
    <w:rsid w:val="00D12DCD"/>
    <w:rsid w:val="00D12E5C"/>
    <w:rsid w:val="00D13157"/>
    <w:rsid w:val="00D13831"/>
    <w:rsid w:val="00D1469E"/>
    <w:rsid w:val="00D14A7D"/>
    <w:rsid w:val="00D14D93"/>
    <w:rsid w:val="00D15D78"/>
    <w:rsid w:val="00D1601E"/>
    <w:rsid w:val="00D1677D"/>
    <w:rsid w:val="00D168F8"/>
    <w:rsid w:val="00D16C48"/>
    <w:rsid w:val="00D174AE"/>
    <w:rsid w:val="00D17671"/>
    <w:rsid w:val="00D17C2C"/>
    <w:rsid w:val="00D17EF9"/>
    <w:rsid w:val="00D206F0"/>
    <w:rsid w:val="00D20C27"/>
    <w:rsid w:val="00D20DC1"/>
    <w:rsid w:val="00D21EC1"/>
    <w:rsid w:val="00D222A7"/>
    <w:rsid w:val="00D2256F"/>
    <w:rsid w:val="00D2263A"/>
    <w:rsid w:val="00D22A76"/>
    <w:rsid w:val="00D23219"/>
    <w:rsid w:val="00D232A9"/>
    <w:rsid w:val="00D235F5"/>
    <w:rsid w:val="00D23A8C"/>
    <w:rsid w:val="00D23E0D"/>
    <w:rsid w:val="00D248A2"/>
    <w:rsid w:val="00D248B2"/>
    <w:rsid w:val="00D24D0D"/>
    <w:rsid w:val="00D24E16"/>
    <w:rsid w:val="00D2594D"/>
    <w:rsid w:val="00D25F5E"/>
    <w:rsid w:val="00D26DD0"/>
    <w:rsid w:val="00D26F52"/>
    <w:rsid w:val="00D26F79"/>
    <w:rsid w:val="00D27607"/>
    <w:rsid w:val="00D27A4E"/>
    <w:rsid w:val="00D3050D"/>
    <w:rsid w:val="00D30A18"/>
    <w:rsid w:val="00D30D15"/>
    <w:rsid w:val="00D31563"/>
    <w:rsid w:val="00D3171D"/>
    <w:rsid w:val="00D3194A"/>
    <w:rsid w:val="00D31A3E"/>
    <w:rsid w:val="00D31C83"/>
    <w:rsid w:val="00D32277"/>
    <w:rsid w:val="00D33D01"/>
    <w:rsid w:val="00D3465B"/>
    <w:rsid w:val="00D34DEE"/>
    <w:rsid w:val="00D34E61"/>
    <w:rsid w:val="00D352B7"/>
    <w:rsid w:val="00D353EC"/>
    <w:rsid w:val="00D354E6"/>
    <w:rsid w:val="00D355D3"/>
    <w:rsid w:val="00D359AE"/>
    <w:rsid w:val="00D36410"/>
    <w:rsid w:val="00D367FD"/>
    <w:rsid w:val="00D36903"/>
    <w:rsid w:val="00D37100"/>
    <w:rsid w:val="00D37617"/>
    <w:rsid w:val="00D40510"/>
    <w:rsid w:val="00D406F1"/>
    <w:rsid w:val="00D408C5"/>
    <w:rsid w:val="00D40F30"/>
    <w:rsid w:val="00D41014"/>
    <w:rsid w:val="00D41EC0"/>
    <w:rsid w:val="00D4220A"/>
    <w:rsid w:val="00D422A9"/>
    <w:rsid w:val="00D4313E"/>
    <w:rsid w:val="00D43C41"/>
    <w:rsid w:val="00D445A3"/>
    <w:rsid w:val="00D449ED"/>
    <w:rsid w:val="00D44B8C"/>
    <w:rsid w:val="00D45103"/>
    <w:rsid w:val="00D451D3"/>
    <w:rsid w:val="00D4562D"/>
    <w:rsid w:val="00D45D83"/>
    <w:rsid w:val="00D45FD5"/>
    <w:rsid w:val="00D46AF6"/>
    <w:rsid w:val="00D46C8C"/>
    <w:rsid w:val="00D476E8"/>
    <w:rsid w:val="00D479BB"/>
    <w:rsid w:val="00D5065F"/>
    <w:rsid w:val="00D50664"/>
    <w:rsid w:val="00D508AB"/>
    <w:rsid w:val="00D516C7"/>
    <w:rsid w:val="00D517B0"/>
    <w:rsid w:val="00D51E06"/>
    <w:rsid w:val="00D520E4"/>
    <w:rsid w:val="00D521E2"/>
    <w:rsid w:val="00D52A8E"/>
    <w:rsid w:val="00D55E22"/>
    <w:rsid w:val="00D56192"/>
    <w:rsid w:val="00D56306"/>
    <w:rsid w:val="00D56531"/>
    <w:rsid w:val="00D56760"/>
    <w:rsid w:val="00D57124"/>
    <w:rsid w:val="00D5762A"/>
    <w:rsid w:val="00D57B3D"/>
    <w:rsid w:val="00D57C2E"/>
    <w:rsid w:val="00D57DFA"/>
    <w:rsid w:val="00D57EE1"/>
    <w:rsid w:val="00D57F90"/>
    <w:rsid w:val="00D57FF2"/>
    <w:rsid w:val="00D60858"/>
    <w:rsid w:val="00D60F93"/>
    <w:rsid w:val="00D6258D"/>
    <w:rsid w:val="00D62E57"/>
    <w:rsid w:val="00D6343D"/>
    <w:rsid w:val="00D640B5"/>
    <w:rsid w:val="00D644F2"/>
    <w:rsid w:val="00D64952"/>
    <w:rsid w:val="00D64BD8"/>
    <w:rsid w:val="00D64C65"/>
    <w:rsid w:val="00D6527F"/>
    <w:rsid w:val="00D65816"/>
    <w:rsid w:val="00D658E3"/>
    <w:rsid w:val="00D6591E"/>
    <w:rsid w:val="00D659C5"/>
    <w:rsid w:val="00D65EAF"/>
    <w:rsid w:val="00D65F44"/>
    <w:rsid w:val="00D662D5"/>
    <w:rsid w:val="00D66994"/>
    <w:rsid w:val="00D6726E"/>
    <w:rsid w:val="00D67C36"/>
    <w:rsid w:val="00D67F97"/>
    <w:rsid w:val="00D70064"/>
    <w:rsid w:val="00D70684"/>
    <w:rsid w:val="00D71C66"/>
    <w:rsid w:val="00D7200D"/>
    <w:rsid w:val="00D72624"/>
    <w:rsid w:val="00D7298A"/>
    <w:rsid w:val="00D73373"/>
    <w:rsid w:val="00D73DC9"/>
    <w:rsid w:val="00D73F1B"/>
    <w:rsid w:val="00D73FD9"/>
    <w:rsid w:val="00D740C6"/>
    <w:rsid w:val="00D747DC"/>
    <w:rsid w:val="00D747FF"/>
    <w:rsid w:val="00D752BE"/>
    <w:rsid w:val="00D7610E"/>
    <w:rsid w:val="00D76922"/>
    <w:rsid w:val="00D76B79"/>
    <w:rsid w:val="00D77119"/>
    <w:rsid w:val="00D775DC"/>
    <w:rsid w:val="00D77BAA"/>
    <w:rsid w:val="00D80465"/>
    <w:rsid w:val="00D80AD0"/>
    <w:rsid w:val="00D81ADC"/>
    <w:rsid w:val="00D829CE"/>
    <w:rsid w:val="00D82A6D"/>
    <w:rsid w:val="00D836CA"/>
    <w:rsid w:val="00D83DC1"/>
    <w:rsid w:val="00D84575"/>
    <w:rsid w:val="00D85C16"/>
    <w:rsid w:val="00D85ECB"/>
    <w:rsid w:val="00D85EE7"/>
    <w:rsid w:val="00D86583"/>
    <w:rsid w:val="00D86FDF"/>
    <w:rsid w:val="00D86FF5"/>
    <w:rsid w:val="00D8707E"/>
    <w:rsid w:val="00D87AB0"/>
    <w:rsid w:val="00D87B71"/>
    <w:rsid w:val="00D87FEA"/>
    <w:rsid w:val="00D90151"/>
    <w:rsid w:val="00D907EF"/>
    <w:rsid w:val="00D90BAF"/>
    <w:rsid w:val="00D918F5"/>
    <w:rsid w:val="00D930D9"/>
    <w:rsid w:val="00D938D4"/>
    <w:rsid w:val="00D93920"/>
    <w:rsid w:val="00D93BBE"/>
    <w:rsid w:val="00D93E77"/>
    <w:rsid w:val="00D9429E"/>
    <w:rsid w:val="00D94389"/>
    <w:rsid w:val="00D9503D"/>
    <w:rsid w:val="00D95924"/>
    <w:rsid w:val="00D96227"/>
    <w:rsid w:val="00D96491"/>
    <w:rsid w:val="00D966E3"/>
    <w:rsid w:val="00D969E6"/>
    <w:rsid w:val="00D96B00"/>
    <w:rsid w:val="00D96BE7"/>
    <w:rsid w:val="00D97706"/>
    <w:rsid w:val="00D977E4"/>
    <w:rsid w:val="00D979D7"/>
    <w:rsid w:val="00D97A63"/>
    <w:rsid w:val="00D97DA3"/>
    <w:rsid w:val="00DA0651"/>
    <w:rsid w:val="00DA0C59"/>
    <w:rsid w:val="00DA1D01"/>
    <w:rsid w:val="00DA1D2E"/>
    <w:rsid w:val="00DA2096"/>
    <w:rsid w:val="00DA2607"/>
    <w:rsid w:val="00DA28AF"/>
    <w:rsid w:val="00DA5025"/>
    <w:rsid w:val="00DA5114"/>
    <w:rsid w:val="00DA5140"/>
    <w:rsid w:val="00DA51CB"/>
    <w:rsid w:val="00DA526B"/>
    <w:rsid w:val="00DA6416"/>
    <w:rsid w:val="00DA6814"/>
    <w:rsid w:val="00DA6B4A"/>
    <w:rsid w:val="00DA6E8A"/>
    <w:rsid w:val="00DA7D00"/>
    <w:rsid w:val="00DA7D98"/>
    <w:rsid w:val="00DB0262"/>
    <w:rsid w:val="00DB0840"/>
    <w:rsid w:val="00DB0F0F"/>
    <w:rsid w:val="00DB0F5E"/>
    <w:rsid w:val="00DB134F"/>
    <w:rsid w:val="00DB14D5"/>
    <w:rsid w:val="00DB21C1"/>
    <w:rsid w:val="00DB24A2"/>
    <w:rsid w:val="00DB2EFB"/>
    <w:rsid w:val="00DB3376"/>
    <w:rsid w:val="00DB40AD"/>
    <w:rsid w:val="00DB44E1"/>
    <w:rsid w:val="00DB4F48"/>
    <w:rsid w:val="00DB545A"/>
    <w:rsid w:val="00DB558A"/>
    <w:rsid w:val="00DB5CE0"/>
    <w:rsid w:val="00DB5FBD"/>
    <w:rsid w:val="00DB662D"/>
    <w:rsid w:val="00DC037A"/>
    <w:rsid w:val="00DC07B9"/>
    <w:rsid w:val="00DC130C"/>
    <w:rsid w:val="00DC1A15"/>
    <w:rsid w:val="00DC1D7B"/>
    <w:rsid w:val="00DC20D8"/>
    <w:rsid w:val="00DC3CFC"/>
    <w:rsid w:val="00DC48FC"/>
    <w:rsid w:val="00DC5409"/>
    <w:rsid w:val="00DC5C57"/>
    <w:rsid w:val="00DC60A2"/>
    <w:rsid w:val="00DC61B6"/>
    <w:rsid w:val="00DC61F5"/>
    <w:rsid w:val="00DC6591"/>
    <w:rsid w:val="00DC67BC"/>
    <w:rsid w:val="00DC6B06"/>
    <w:rsid w:val="00DC6C79"/>
    <w:rsid w:val="00DC6D2F"/>
    <w:rsid w:val="00DC71A1"/>
    <w:rsid w:val="00DC74A5"/>
    <w:rsid w:val="00DC76AA"/>
    <w:rsid w:val="00DD0437"/>
    <w:rsid w:val="00DD0505"/>
    <w:rsid w:val="00DD0C2C"/>
    <w:rsid w:val="00DD0EA7"/>
    <w:rsid w:val="00DD1AA4"/>
    <w:rsid w:val="00DD1C88"/>
    <w:rsid w:val="00DD1FF8"/>
    <w:rsid w:val="00DD2251"/>
    <w:rsid w:val="00DD230C"/>
    <w:rsid w:val="00DD281F"/>
    <w:rsid w:val="00DD2BD0"/>
    <w:rsid w:val="00DD413F"/>
    <w:rsid w:val="00DD4457"/>
    <w:rsid w:val="00DD51D5"/>
    <w:rsid w:val="00DD5DC5"/>
    <w:rsid w:val="00DD6960"/>
    <w:rsid w:val="00DD69DC"/>
    <w:rsid w:val="00DD6A69"/>
    <w:rsid w:val="00DD6C37"/>
    <w:rsid w:val="00DD6E58"/>
    <w:rsid w:val="00DD78A4"/>
    <w:rsid w:val="00DD79D0"/>
    <w:rsid w:val="00DE0792"/>
    <w:rsid w:val="00DE0DE2"/>
    <w:rsid w:val="00DE0E92"/>
    <w:rsid w:val="00DE1464"/>
    <w:rsid w:val="00DE1DF6"/>
    <w:rsid w:val="00DE216C"/>
    <w:rsid w:val="00DE331C"/>
    <w:rsid w:val="00DE379F"/>
    <w:rsid w:val="00DE3FAF"/>
    <w:rsid w:val="00DE4912"/>
    <w:rsid w:val="00DE4A83"/>
    <w:rsid w:val="00DE5CC0"/>
    <w:rsid w:val="00DE5EB6"/>
    <w:rsid w:val="00DE61D0"/>
    <w:rsid w:val="00DE6263"/>
    <w:rsid w:val="00DE64AF"/>
    <w:rsid w:val="00DE6765"/>
    <w:rsid w:val="00DE6CB2"/>
    <w:rsid w:val="00DE6E75"/>
    <w:rsid w:val="00DE7654"/>
    <w:rsid w:val="00DE7FD6"/>
    <w:rsid w:val="00DF09CE"/>
    <w:rsid w:val="00DF0B01"/>
    <w:rsid w:val="00DF0E08"/>
    <w:rsid w:val="00DF1294"/>
    <w:rsid w:val="00DF1585"/>
    <w:rsid w:val="00DF1C83"/>
    <w:rsid w:val="00DF1DC9"/>
    <w:rsid w:val="00DF2409"/>
    <w:rsid w:val="00DF25F2"/>
    <w:rsid w:val="00DF2F02"/>
    <w:rsid w:val="00DF3070"/>
    <w:rsid w:val="00DF317A"/>
    <w:rsid w:val="00DF35AD"/>
    <w:rsid w:val="00DF3751"/>
    <w:rsid w:val="00DF388E"/>
    <w:rsid w:val="00DF3E40"/>
    <w:rsid w:val="00DF4CC2"/>
    <w:rsid w:val="00DF5178"/>
    <w:rsid w:val="00DF58BB"/>
    <w:rsid w:val="00DF6F6F"/>
    <w:rsid w:val="00DF70BB"/>
    <w:rsid w:val="00DF75BF"/>
    <w:rsid w:val="00DF7BB7"/>
    <w:rsid w:val="00DF7FBB"/>
    <w:rsid w:val="00E000AD"/>
    <w:rsid w:val="00E00D52"/>
    <w:rsid w:val="00E03201"/>
    <w:rsid w:val="00E037B3"/>
    <w:rsid w:val="00E04172"/>
    <w:rsid w:val="00E04577"/>
    <w:rsid w:val="00E046ED"/>
    <w:rsid w:val="00E049F5"/>
    <w:rsid w:val="00E054A0"/>
    <w:rsid w:val="00E0556E"/>
    <w:rsid w:val="00E061A1"/>
    <w:rsid w:val="00E068DB"/>
    <w:rsid w:val="00E0696B"/>
    <w:rsid w:val="00E069B4"/>
    <w:rsid w:val="00E06D89"/>
    <w:rsid w:val="00E0752C"/>
    <w:rsid w:val="00E075BC"/>
    <w:rsid w:val="00E075E2"/>
    <w:rsid w:val="00E11164"/>
    <w:rsid w:val="00E11739"/>
    <w:rsid w:val="00E11E28"/>
    <w:rsid w:val="00E12B7D"/>
    <w:rsid w:val="00E13225"/>
    <w:rsid w:val="00E132F2"/>
    <w:rsid w:val="00E133AB"/>
    <w:rsid w:val="00E1528F"/>
    <w:rsid w:val="00E15AC7"/>
    <w:rsid w:val="00E15E7B"/>
    <w:rsid w:val="00E15F16"/>
    <w:rsid w:val="00E15FB7"/>
    <w:rsid w:val="00E16069"/>
    <w:rsid w:val="00E16925"/>
    <w:rsid w:val="00E16FF5"/>
    <w:rsid w:val="00E17582"/>
    <w:rsid w:val="00E17B15"/>
    <w:rsid w:val="00E20074"/>
    <w:rsid w:val="00E20A84"/>
    <w:rsid w:val="00E20C31"/>
    <w:rsid w:val="00E214AE"/>
    <w:rsid w:val="00E21821"/>
    <w:rsid w:val="00E21991"/>
    <w:rsid w:val="00E21C13"/>
    <w:rsid w:val="00E22389"/>
    <w:rsid w:val="00E22802"/>
    <w:rsid w:val="00E2281C"/>
    <w:rsid w:val="00E22AB6"/>
    <w:rsid w:val="00E22FB8"/>
    <w:rsid w:val="00E230D0"/>
    <w:rsid w:val="00E23D93"/>
    <w:rsid w:val="00E24058"/>
    <w:rsid w:val="00E24714"/>
    <w:rsid w:val="00E24BB7"/>
    <w:rsid w:val="00E25115"/>
    <w:rsid w:val="00E25948"/>
    <w:rsid w:val="00E25A37"/>
    <w:rsid w:val="00E25FE6"/>
    <w:rsid w:val="00E260F1"/>
    <w:rsid w:val="00E26493"/>
    <w:rsid w:val="00E26E97"/>
    <w:rsid w:val="00E271F0"/>
    <w:rsid w:val="00E27536"/>
    <w:rsid w:val="00E27B10"/>
    <w:rsid w:val="00E302CF"/>
    <w:rsid w:val="00E30E5A"/>
    <w:rsid w:val="00E31EE3"/>
    <w:rsid w:val="00E32650"/>
    <w:rsid w:val="00E3269C"/>
    <w:rsid w:val="00E32BC7"/>
    <w:rsid w:val="00E33CF3"/>
    <w:rsid w:val="00E33E62"/>
    <w:rsid w:val="00E33EEF"/>
    <w:rsid w:val="00E33EFE"/>
    <w:rsid w:val="00E345FB"/>
    <w:rsid w:val="00E34D20"/>
    <w:rsid w:val="00E34F9D"/>
    <w:rsid w:val="00E35051"/>
    <w:rsid w:val="00E35097"/>
    <w:rsid w:val="00E36951"/>
    <w:rsid w:val="00E36D6D"/>
    <w:rsid w:val="00E36E73"/>
    <w:rsid w:val="00E37664"/>
    <w:rsid w:val="00E406D4"/>
    <w:rsid w:val="00E4089B"/>
    <w:rsid w:val="00E4136F"/>
    <w:rsid w:val="00E41E4F"/>
    <w:rsid w:val="00E43410"/>
    <w:rsid w:val="00E43A77"/>
    <w:rsid w:val="00E43E48"/>
    <w:rsid w:val="00E4521C"/>
    <w:rsid w:val="00E455AF"/>
    <w:rsid w:val="00E45E3C"/>
    <w:rsid w:val="00E45F4B"/>
    <w:rsid w:val="00E465A3"/>
    <w:rsid w:val="00E46628"/>
    <w:rsid w:val="00E46642"/>
    <w:rsid w:val="00E46D92"/>
    <w:rsid w:val="00E47675"/>
    <w:rsid w:val="00E47756"/>
    <w:rsid w:val="00E478E6"/>
    <w:rsid w:val="00E47B30"/>
    <w:rsid w:val="00E47F33"/>
    <w:rsid w:val="00E501CB"/>
    <w:rsid w:val="00E50C66"/>
    <w:rsid w:val="00E50C6A"/>
    <w:rsid w:val="00E50CFE"/>
    <w:rsid w:val="00E51485"/>
    <w:rsid w:val="00E5170E"/>
    <w:rsid w:val="00E51F1C"/>
    <w:rsid w:val="00E51FB0"/>
    <w:rsid w:val="00E5397B"/>
    <w:rsid w:val="00E53E16"/>
    <w:rsid w:val="00E55233"/>
    <w:rsid w:val="00E55542"/>
    <w:rsid w:val="00E5565F"/>
    <w:rsid w:val="00E55944"/>
    <w:rsid w:val="00E55ABC"/>
    <w:rsid w:val="00E55BDB"/>
    <w:rsid w:val="00E56162"/>
    <w:rsid w:val="00E56639"/>
    <w:rsid w:val="00E5664E"/>
    <w:rsid w:val="00E56981"/>
    <w:rsid w:val="00E56CA4"/>
    <w:rsid w:val="00E5716C"/>
    <w:rsid w:val="00E573AB"/>
    <w:rsid w:val="00E574D4"/>
    <w:rsid w:val="00E57A17"/>
    <w:rsid w:val="00E57B74"/>
    <w:rsid w:val="00E6001F"/>
    <w:rsid w:val="00E6008E"/>
    <w:rsid w:val="00E60295"/>
    <w:rsid w:val="00E604F5"/>
    <w:rsid w:val="00E60BBD"/>
    <w:rsid w:val="00E60D25"/>
    <w:rsid w:val="00E60DBB"/>
    <w:rsid w:val="00E61352"/>
    <w:rsid w:val="00E61804"/>
    <w:rsid w:val="00E61A44"/>
    <w:rsid w:val="00E61A9E"/>
    <w:rsid w:val="00E6260A"/>
    <w:rsid w:val="00E62F29"/>
    <w:rsid w:val="00E63192"/>
    <w:rsid w:val="00E633C8"/>
    <w:rsid w:val="00E63548"/>
    <w:rsid w:val="00E638F7"/>
    <w:rsid w:val="00E63CBB"/>
    <w:rsid w:val="00E64F45"/>
    <w:rsid w:val="00E653A2"/>
    <w:rsid w:val="00E653E6"/>
    <w:rsid w:val="00E667B5"/>
    <w:rsid w:val="00E67031"/>
    <w:rsid w:val="00E7168F"/>
    <w:rsid w:val="00E717A5"/>
    <w:rsid w:val="00E71945"/>
    <w:rsid w:val="00E72D72"/>
    <w:rsid w:val="00E7357D"/>
    <w:rsid w:val="00E736ED"/>
    <w:rsid w:val="00E7430F"/>
    <w:rsid w:val="00E74D03"/>
    <w:rsid w:val="00E75102"/>
    <w:rsid w:val="00E753BA"/>
    <w:rsid w:val="00E7586C"/>
    <w:rsid w:val="00E759CA"/>
    <w:rsid w:val="00E75DE6"/>
    <w:rsid w:val="00E75E0F"/>
    <w:rsid w:val="00E7688A"/>
    <w:rsid w:val="00E77251"/>
    <w:rsid w:val="00E773F9"/>
    <w:rsid w:val="00E8030B"/>
    <w:rsid w:val="00E8030D"/>
    <w:rsid w:val="00E8039C"/>
    <w:rsid w:val="00E809B4"/>
    <w:rsid w:val="00E81EEC"/>
    <w:rsid w:val="00E81F16"/>
    <w:rsid w:val="00E822BA"/>
    <w:rsid w:val="00E83583"/>
    <w:rsid w:val="00E84F50"/>
    <w:rsid w:val="00E85058"/>
    <w:rsid w:val="00E85CA8"/>
    <w:rsid w:val="00E85D95"/>
    <w:rsid w:val="00E85E39"/>
    <w:rsid w:val="00E86059"/>
    <w:rsid w:val="00E8623E"/>
    <w:rsid w:val="00E8629F"/>
    <w:rsid w:val="00E86442"/>
    <w:rsid w:val="00E86B76"/>
    <w:rsid w:val="00E870B6"/>
    <w:rsid w:val="00E8710B"/>
    <w:rsid w:val="00E87634"/>
    <w:rsid w:val="00E87E55"/>
    <w:rsid w:val="00E909DD"/>
    <w:rsid w:val="00E910F1"/>
    <w:rsid w:val="00E91A9D"/>
    <w:rsid w:val="00E91C17"/>
    <w:rsid w:val="00E920D8"/>
    <w:rsid w:val="00E9262B"/>
    <w:rsid w:val="00E92652"/>
    <w:rsid w:val="00E92846"/>
    <w:rsid w:val="00E92F76"/>
    <w:rsid w:val="00E9325B"/>
    <w:rsid w:val="00E93331"/>
    <w:rsid w:val="00E9343D"/>
    <w:rsid w:val="00E93697"/>
    <w:rsid w:val="00E94B17"/>
    <w:rsid w:val="00E95081"/>
    <w:rsid w:val="00EA01F0"/>
    <w:rsid w:val="00EA088B"/>
    <w:rsid w:val="00EA166B"/>
    <w:rsid w:val="00EA1E1D"/>
    <w:rsid w:val="00EA2004"/>
    <w:rsid w:val="00EA2AEC"/>
    <w:rsid w:val="00EA3C24"/>
    <w:rsid w:val="00EA4465"/>
    <w:rsid w:val="00EA497A"/>
    <w:rsid w:val="00EA5997"/>
    <w:rsid w:val="00EA5D09"/>
    <w:rsid w:val="00EA5E4B"/>
    <w:rsid w:val="00EA6252"/>
    <w:rsid w:val="00EA63A0"/>
    <w:rsid w:val="00EA63FB"/>
    <w:rsid w:val="00EA6F6C"/>
    <w:rsid w:val="00EA707C"/>
    <w:rsid w:val="00EA710E"/>
    <w:rsid w:val="00EA73E5"/>
    <w:rsid w:val="00EA787D"/>
    <w:rsid w:val="00EB0132"/>
    <w:rsid w:val="00EB04FF"/>
    <w:rsid w:val="00EB09ED"/>
    <w:rsid w:val="00EB0BD0"/>
    <w:rsid w:val="00EB1BE7"/>
    <w:rsid w:val="00EB1F08"/>
    <w:rsid w:val="00EB2A2E"/>
    <w:rsid w:val="00EB3B49"/>
    <w:rsid w:val="00EB428E"/>
    <w:rsid w:val="00EB4999"/>
    <w:rsid w:val="00EB4F47"/>
    <w:rsid w:val="00EB546E"/>
    <w:rsid w:val="00EB5B01"/>
    <w:rsid w:val="00EB5EE1"/>
    <w:rsid w:val="00EB6403"/>
    <w:rsid w:val="00EB68DE"/>
    <w:rsid w:val="00EB6CF0"/>
    <w:rsid w:val="00EB6D09"/>
    <w:rsid w:val="00EB6E48"/>
    <w:rsid w:val="00EC03C9"/>
    <w:rsid w:val="00EC0BDD"/>
    <w:rsid w:val="00EC0C2A"/>
    <w:rsid w:val="00EC122E"/>
    <w:rsid w:val="00EC13C7"/>
    <w:rsid w:val="00EC14A9"/>
    <w:rsid w:val="00EC15DA"/>
    <w:rsid w:val="00EC1CC7"/>
    <w:rsid w:val="00EC256A"/>
    <w:rsid w:val="00EC25AB"/>
    <w:rsid w:val="00EC2814"/>
    <w:rsid w:val="00EC29BD"/>
    <w:rsid w:val="00EC2E2F"/>
    <w:rsid w:val="00EC2E93"/>
    <w:rsid w:val="00EC2F70"/>
    <w:rsid w:val="00EC3027"/>
    <w:rsid w:val="00EC36BB"/>
    <w:rsid w:val="00EC44F3"/>
    <w:rsid w:val="00EC4C23"/>
    <w:rsid w:val="00EC565F"/>
    <w:rsid w:val="00EC5704"/>
    <w:rsid w:val="00EC592B"/>
    <w:rsid w:val="00EC6AA8"/>
    <w:rsid w:val="00EC6CF4"/>
    <w:rsid w:val="00ED066D"/>
    <w:rsid w:val="00ED074F"/>
    <w:rsid w:val="00ED23F8"/>
    <w:rsid w:val="00ED3B73"/>
    <w:rsid w:val="00ED42D8"/>
    <w:rsid w:val="00ED4AD8"/>
    <w:rsid w:val="00ED5052"/>
    <w:rsid w:val="00ED5056"/>
    <w:rsid w:val="00ED5501"/>
    <w:rsid w:val="00ED6CC7"/>
    <w:rsid w:val="00ED7028"/>
    <w:rsid w:val="00EE0083"/>
    <w:rsid w:val="00EE021F"/>
    <w:rsid w:val="00EE04A8"/>
    <w:rsid w:val="00EE084A"/>
    <w:rsid w:val="00EE0AE2"/>
    <w:rsid w:val="00EE15C1"/>
    <w:rsid w:val="00EE1AF9"/>
    <w:rsid w:val="00EE1E5A"/>
    <w:rsid w:val="00EE28C1"/>
    <w:rsid w:val="00EE2BDD"/>
    <w:rsid w:val="00EE3BF6"/>
    <w:rsid w:val="00EE3E05"/>
    <w:rsid w:val="00EE43FE"/>
    <w:rsid w:val="00EE52FC"/>
    <w:rsid w:val="00EE5326"/>
    <w:rsid w:val="00EE56F6"/>
    <w:rsid w:val="00EE5B78"/>
    <w:rsid w:val="00EE6E95"/>
    <w:rsid w:val="00EE7329"/>
    <w:rsid w:val="00EE74AF"/>
    <w:rsid w:val="00EE78ED"/>
    <w:rsid w:val="00EF0B8E"/>
    <w:rsid w:val="00EF0F11"/>
    <w:rsid w:val="00EF171F"/>
    <w:rsid w:val="00EF25D5"/>
    <w:rsid w:val="00EF2C06"/>
    <w:rsid w:val="00EF3993"/>
    <w:rsid w:val="00EF41E3"/>
    <w:rsid w:val="00EF50F1"/>
    <w:rsid w:val="00EF5A91"/>
    <w:rsid w:val="00EF5D1F"/>
    <w:rsid w:val="00EF5DA7"/>
    <w:rsid w:val="00EF6872"/>
    <w:rsid w:val="00EF69DC"/>
    <w:rsid w:val="00EF7A1E"/>
    <w:rsid w:val="00EF7C7C"/>
    <w:rsid w:val="00F001FA"/>
    <w:rsid w:val="00F00324"/>
    <w:rsid w:val="00F00EDD"/>
    <w:rsid w:val="00F01049"/>
    <w:rsid w:val="00F011B5"/>
    <w:rsid w:val="00F02118"/>
    <w:rsid w:val="00F021D9"/>
    <w:rsid w:val="00F02B54"/>
    <w:rsid w:val="00F035EB"/>
    <w:rsid w:val="00F0378F"/>
    <w:rsid w:val="00F04044"/>
    <w:rsid w:val="00F046F2"/>
    <w:rsid w:val="00F0487B"/>
    <w:rsid w:val="00F050F5"/>
    <w:rsid w:val="00F05BA3"/>
    <w:rsid w:val="00F05D0B"/>
    <w:rsid w:val="00F05F19"/>
    <w:rsid w:val="00F0621F"/>
    <w:rsid w:val="00F0657F"/>
    <w:rsid w:val="00F068D5"/>
    <w:rsid w:val="00F06C88"/>
    <w:rsid w:val="00F07025"/>
    <w:rsid w:val="00F07135"/>
    <w:rsid w:val="00F072D8"/>
    <w:rsid w:val="00F079DF"/>
    <w:rsid w:val="00F07F2F"/>
    <w:rsid w:val="00F10CC8"/>
    <w:rsid w:val="00F10DC5"/>
    <w:rsid w:val="00F10DF7"/>
    <w:rsid w:val="00F11FEF"/>
    <w:rsid w:val="00F129F3"/>
    <w:rsid w:val="00F12A8E"/>
    <w:rsid w:val="00F13325"/>
    <w:rsid w:val="00F133B7"/>
    <w:rsid w:val="00F13D97"/>
    <w:rsid w:val="00F13DB7"/>
    <w:rsid w:val="00F1477C"/>
    <w:rsid w:val="00F14938"/>
    <w:rsid w:val="00F14DCA"/>
    <w:rsid w:val="00F150E6"/>
    <w:rsid w:val="00F155D7"/>
    <w:rsid w:val="00F15877"/>
    <w:rsid w:val="00F15B94"/>
    <w:rsid w:val="00F16643"/>
    <w:rsid w:val="00F177C6"/>
    <w:rsid w:val="00F1799A"/>
    <w:rsid w:val="00F20101"/>
    <w:rsid w:val="00F20881"/>
    <w:rsid w:val="00F20A0A"/>
    <w:rsid w:val="00F20AEF"/>
    <w:rsid w:val="00F2111F"/>
    <w:rsid w:val="00F21549"/>
    <w:rsid w:val="00F21B44"/>
    <w:rsid w:val="00F21FC3"/>
    <w:rsid w:val="00F22D36"/>
    <w:rsid w:val="00F23220"/>
    <w:rsid w:val="00F23838"/>
    <w:rsid w:val="00F23885"/>
    <w:rsid w:val="00F23F01"/>
    <w:rsid w:val="00F2480C"/>
    <w:rsid w:val="00F2487F"/>
    <w:rsid w:val="00F258EA"/>
    <w:rsid w:val="00F25AA7"/>
    <w:rsid w:val="00F25B8E"/>
    <w:rsid w:val="00F26124"/>
    <w:rsid w:val="00F262F7"/>
    <w:rsid w:val="00F26841"/>
    <w:rsid w:val="00F26C24"/>
    <w:rsid w:val="00F26CAF"/>
    <w:rsid w:val="00F26D8A"/>
    <w:rsid w:val="00F2702D"/>
    <w:rsid w:val="00F30061"/>
    <w:rsid w:val="00F30545"/>
    <w:rsid w:val="00F3057B"/>
    <w:rsid w:val="00F3066D"/>
    <w:rsid w:val="00F3086E"/>
    <w:rsid w:val="00F30B39"/>
    <w:rsid w:val="00F31C2F"/>
    <w:rsid w:val="00F3217C"/>
    <w:rsid w:val="00F3217F"/>
    <w:rsid w:val="00F32539"/>
    <w:rsid w:val="00F3253C"/>
    <w:rsid w:val="00F3423B"/>
    <w:rsid w:val="00F34324"/>
    <w:rsid w:val="00F344B2"/>
    <w:rsid w:val="00F34B23"/>
    <w:rsid w:val="00F35491"/>
    <w:rsid w:val="00F357F5"/>
    <w:rsid w:val="00F35B54"/>
    <w:rsid w:val="00F369D3"/>
    <w:rsid w:val="00F36B5B"/>
    <w:rsid w:val="00F36C7A"/>
    <w:rsid w:val="00F36CB2"/>
    <w:rsid w:val="00F36D50"/>
    <w:rsid w:val="00F36F96"/>
    <w:rsid w:val="00F37032"/>
    <w:rsid w:val="00F370CC"/>
    <w:rsid w:val="00F37BF5"/>
    <w:rsid w:val="00F4069C"/>
    <w:rsid w:val="00F409F5"/>
    <w:rsid w:val="00F40BBA"/>
    <w:rsid w:val="00F414F8"/>
    <w:rsid w:val="00F415BB"/>
    <w:rsid w:val="00F4194B"/>
    <w:rsid w:val="00F4233F"/>
    <w:rsid w:val="00F42B53"/>
    <w:rsid w:val="00F42BDF"/>
    <w:rsid w:val="00F42C35"/>
    <w:rsid w:val="00F42FCC"/>
    <w:rsid w:val="00F43CD3"/>
    <w:rsid w:val="00F43EF8"/>
    <w:rsid w:val="00F44012"/>
    <w:rsid w:val="00F44291"/>
    <w:rsid w:val="00F4457F"/>
    <w:rsid w:val="00F45267"/>
    <w:rsid w:val="00F455FA"/>
    <w:rsid w:val="00F4595E"/>
    <w:rsid w:val="00F45E12"/>
    <w:rsid w:val="00F460F3"/>
    <w:rsid w:val="00F461AC"/>
    <w:rsid w:val="00F4620B"/>
    <w:rsid w:val="00F46298"/>
    <w:rsid w:val="00F469D7"/>
    <w:rsid w:val="00F4746D"/>
    <w:rsid w:val="00F47598"/>
    <w:rsid w:val="00F4799F"/>
    <w:rsid w:val="00F50005"/>
    <w:rsid w:val="00F50120"/>
    <w:rsid w:val="00F50601"/>
    <w:rsid w:val="00F50634"/>
    <w:rsid w:val="00F50643"/>
    <w:rsid w:val="00F50765"/>
    <w:rsid w:val="00F5165E"/>
    <w:rsid w:val="00F51978"/>
    <w:rsid w:val="00F51C5D"/>
    <w:rsid w:val="00F51EF1"/>
    <w:rsid w:val="00F520CA"/>
    <w:rsid w:val="00F536B8"/>
    <w:rsid w:val="00F53BEB"/>
    <w:rsid w:val="00F53DB1"/>
    <w:rsid w:val="00F53E6B"/>
    <w:rsid w:val="00F54A4A"/>
    <w:rsid w:val="00F54F09"/>
    <w:rsid w:val="00F5534F"/>
    <w:rsid w:val="00F5604E"/>
    <w:rsid w:val="00F5629A"/>
    <w:rsid w:val="00F56C31"/>
    <w:rsid w:val="00F56D74"/>
    <w:rsid w:val="00F57369"/>
    <w:rsid w:val="00F577F3"/>
    <w:rsid w:val="00F57E73"/>
    <w:rsid w:val="00F60EF8"/>
    <w:rsid w:val="00F61215"/>
    <w:rsid w:val="00F6169B"/>
    <w:rsid w:val="00F6185F"/>
    <w:rsid w:val="00F62280"/>
    <w:rsid w:val="00F63976"/>
    <w:rsid w:val="00F63AC8"/>
    <w:rsid w:val="00F63CD1"/>
    <w:rsid w:val="00F63F64"/>
    <w:rsid w:val="00F641AE"/>
    <w:rsid w:val="00F64387"/>
    <w:rsid w:val="00F6456E"/>
    <w:rsid w:val="00F6457D"/>
    <w:rsid w:val="00F6480A"/>
    <w:rsid w:val="00F64AFB"/>
    <w:rsid w:val="00F64B3E"/>
    <w:rsid w:val="00F65259"/>
    <w:rsid w:val="00F65439"/>
    <w:rsid w:val="00F65D22"/>
    <w:rsid w:val="00F65D87"/>
    <w:rsid w:val="00F65D93"/>
    <w:rsid w:val="00F6634D"/>
    <w:rsid w:val="00F6669B"/>
    <w:rsid w:val="00F66772"/>
    <w:rsid w:val="00F67741"/>
    <w:rsid w:val="00F67903"/>
    <w:rsid w:val="00F702B8"/>
    <w:rsid w:val="00F7089A"/>
    <w:rsid w:val="00F710C8"/>
    <w:rsid w:val="00F7180A"/>
    <w:rsid w:val="00F71FF6"/>
    <w:rsid w:val="00F72033"/>
    <w:rsid w:val="00F720D3"/>
    <w:rsid w:val="00F72225"/>
    <w:rsid w:val="00F7224D"/>
    <w:rsid w:val="00F727D5"/>
    <w:rsid w:val="00F72AA0"/>
    <w:rsid w:val="00F741DB"/>
    <w:rsid w:val="00F744BB"/>
    <w:rsid w:val="00F7551B"/>
    <w:rsid w:val="00F75696"/>
    <w:rsid w:val="00F75899"/>
    <w:rsid w:val="00F75A4F"/>
    <w:rsid w:val="00F7611D"/>
    <w:rsid w:val="00F76207"/>
    <w:rsid w:val="00F76588"/>
    <w:rsid w:val="00F769E7"/>
    <w:rsid w:val="00F76A73"/>
    <w:rsid w:val="00F76B9A"/>
    <w:rsid w:val="00F77397"/>
    <w:rsid w:val="00F77720"/>
    <w:rsid w:val="00F778EA"/>
    <w:rsid w:val="00F77D4F"/>
    <w:rsid w:val="00F77E91"/>
    <w:rsid w:val="00F80432"/>
    <w:rsid w:val="00F805AE"/>
    <w:rsid w:val="00F80740"/>
    <w:rsid w:val="00F80B51"/>
    <w:rsid w:val="00F80E68"/>
    <w:rsid w:val="00F81DBA"/>
    <w:rsid w:val="00F83096"/>
    <w:rsid w:val="00F8381E"/>
    <w:rsid w:val="00F838F2"/>
    <w:rsid w:val="00F84302"/>
    <w:rsid w:val="00F84364"/>
    <w:rsid w:val="00F84BEB"/>
    <w:rsid w:val="00F8504E"/>
    <w:rsid w:val="00F850B9"/>
    <w:rsid w:val="00F85C9E"/>
    <w:rsid w:val="00F866FB"/>
    <w:rsid w:val="00F873A9"/>
    <w:rsid w:val="00F87C10"/>
    <w:rsid w:val="00F902C3"/>
    <w:rsid w:val="00F90529"/>
    <w:rsid w:val="00F906FF"/>
    <w:rsid w:val="00F90D35"/>
    <w:rsid w:val="00F90DE1"/>
    <w:rsid w:val="00F9137A"/>
    <w:rsid w:val="00F91EE9"/>
    <w:rsid w:val="00F9264C"/>
    <w:rsid w:val="00F92986"/>
    <w:rsid w:val="00F92E89"/>
    <w:rsid w:val="00F9355C"/>
    <w:rsid w:val="00F939C8"/>
    <w:rsid w:val="00F939CD"/>
    <w:rsid w:val="00F93D44"/>
    <w:rsid w:val="00F93E63"/>
    <w:rsid w:val="00F942F9"/>
    <w:rsid w:val="00F94466"/>
    <w:rsid w:val="00F94F20"/>
    <w:rsid w:val="00F95718"/>
    <w:rsid w:val="00F95BC3"/>
    <w:rsid w:val="00F95E8A"/>
    <w:rsid w:val="00F95E8B"/>
    <w:rsid w:val="00F96817"/>
    <w:rsid w:val="00F9767B"/>
    <w:rsid w:val="00F9790A"/>
    <w:rsid w:val="00FA01B9"/>
    <w:rsid w:val="00FA0794"/>
    <w:rsid w:val="00FA08CB"/>
    <w:rsid w:val="00FA094D"/>
    <w:rsid w:val="00FA0B87"/>
    <w:rsid w:val="00FA0CDB"/>
    <w:rsid w:val="00FA13D8"/>
    <w:rsid w:val="00FA149C"/>
    <w:rsid w:val="00FA18B9"/>
    <w:rsid w:val="00FA1DF3"/>
    <w:rsid w:val="00FA1E72"/>
    <w:rsid w:val="00FA1FCC"/>
    <w:rsid w:val="00FA21AA"/>
    <w:rsid w:val="00FA2966"/>
    <w:rsid w:val="00FA2E4F"/>
    <w:rsid w:val="00FA30D4"/>
    <w:rsid w:val="00FA3174"/>
    <w:rsid w:val="00FA3792"/>
    <w:rsid w:val="00FA514F"/>
    <w:rsid w:val="00FA5C31"/>
    <w:rsid w:val="00FA5C95"/>
    <w:rsid w:val="00FA65E9"/>
    <w:rsid w:val="00FA6681"/>
    <w:rsid w:val="00FA6A21"/>
    <w:rsid w:val="00FA6ADC"/>
    <w:rsid w:val="00FA703C"/>
    <w:rsid w:val="00FA77EC"/>
    <w:rsid w:val="00FA7E57"/>
    <w:rsid w:val="00FB02D5"/>
    <w:rsid w:val="00FB0AEA"/>
    <w:rsid w:val="00FB0BD9"/>
    <w:rsid w:val="00FB0E17"/>
    <w:rsid w:val="00FB162F"/>
    <w:rsid w:val="00FB1657"/>
    <w:rsid w:val="00FB1661"/>
    <w:rsid w:val="00FB1E0D"/>
    <w:rsid w:val="00FB2299"/>
    <w:rsid w:val="00FB2582"/>
    <w:rsid w:val="00FB273E"/>
    <w:rsid w:val="00FB280A"/>
    <w:rsid w:val="00FB2EBB"/>
    <w:rsid w:val="00FB324F"/>
    <w:rsid w:val="00FB378F"/>
    <w:rsid w:val="00FB3A94"/>
    <w:rsid w:val="00FB3C7F"/>
    <w:rsid w:val="00FB42DC"/>
    <w:rsid w:val="00FB4BF6"/>
    <w:rsid w:val="00FB4E7D"/>
    <w:rsid w:val="00FB50AF"/>
    <w:rsid w:val="00FB51E5"/>
    <w:rsid w:val="00FB545C"/>
    <w:rsid w:val="00FB54CC"/>
    <w:rsid w:val="00FB5E3C"/>
    <w:rsid w:val="00FB66FC"/>
    <w:rsid w:val="00FB712B"/>
    <w:rsid w:val="00FB7738"/>
    <w:rsid w:val="00FB7BBD"/>
    <w:rsid w:val="00FB7E3C"/>
    <w:rsid w:val="00FC042A"/>
    <w:rsid w:val="00FC051F"/>
    <w:rsid w:val="00FC06B8"/>
    <w:rsid w:val="00FC091B"/>
    <w:rsid w:val="00FC0B6E"/>
    <w:rsid w:val="00FC0E8F"/>
    <w:rsid w:val="00FC14E7"/>
    <w:rsid w:val="00FC17E4"/>
    <w:rsid w:val="00FC1B45"/>
    <w:rsid w:val="00FC3061"/>
    <w:rsid w:val="00FC3AD0"/>
    <w:rsid w:val="00FC3C19"/>
    <w:rsid w:val="00FC439E"/>
    <w:rsid w:val="00FC46BC"/>
    <w:rsid w:val="00FC4703"/>
    <w:rsid w:val="00FC482E"/>
    <w:rsid w:val="00FC4D07"/>
    <w:rsid w:val="00FC531D"/>
    <w:rsid w:val="00FC593B"/>
    <w:rsid w:val="00FC5C47"/>
    <w:rsid w:val="00FC6333"/>
    <w:rsid w:val="00FC6567"/>
    <w:rsid w:val="00FC69F5"/>
    <w:rsid w:val="00FC6D29"/>
    <w:rsid w:val="00FC75F9"/>
    <w:rsid w:val="00FC7D16"/>
    <w:rsid w:val="00FD03A1"/>
    <w:rsid w:val="00FD063A"/>
    <w:rsid w:val="00FD06F0"/>
    <w:rsid w:val="00FD092B"/>
    <w:rsid w:val="00FD0993"/>
    <w:rsid w:val="00FD0CC7"/>
    <w:rsid w:val="00FD0F02"/>
    <w:rsid w:val="00FD1F20"/>
    <w:rsid w:val="00FD2D64"/>
    <w:rsid w:val="00FD3E55"/>
    <w:rsid w:val="00FD43D1"/>
    <w:rsid w:val="00FD45BD"/>
    <w:rsid w:val="00FD4DF8"/>
    <w:rsid w:val="00FD4FAF"/>
    <w:rsid w:val="00FD5595"/>
    <w:rsid w:val="00FD5960"/>
    <w:rsid w:val="00FD5E4B"/>
    <w:rsid w:val="00FD5FB7"/>
    <w:rsid w:val="00FD63AE"/>
    <w:rsid w:val="00FD63E5"/>
    <w:rsid w:val="00FD7501"/>
    <w:rsid w:val="00FD769A"/>
    <w:rsid w:val="00FE0D9E"/>
    <w:rsid w:val="00FE17ED"/>
    <w:rsid w:val="00FE2220"/>
    <w:rsid w:val="00FE2A2E"/>
    <w:rsid w:val="00FE2A3C"/>
    <w:rsid w:val="00FE30D7"/>
    <w:rsid w:val="00FE3C4C"/>
    <w:rsid w:val="00FE498E"/>
    <w:rsid w:val="00FE504A"/>
    <w:rsid w:val="00FE583C"/>
    <w:rsid w:val="00FE5CEF"/>
    <w:rsid w:val="00FE6069"/>
    <w:rsid w:val="00FE687A"/>
    <w:rsid w:val="00FE709C"/>
    <w:rsid w:val="00FE7337"/>
    <w:rsid w:val="00FE764B"/>
    <w:rsid w:val="00FE76DD"/>
    <w:rsid w:val="00FE7ADC"/>
    <w:rsid w:val="00FF0C15"/>
    <w:rsid w:val="00FF0ED1"/>
    <w:rsid w:val="00FF20DC"/>
    <w:rsid w:val="00FF2BD3"/>
    <w:rsid w:val="00FF2C98"/>
    <w:rsid w:val="00FF2CAA"/>
    <w:rsid w:val="00FF34FD"/>
    <w:rsid w:val="00FF3796"/>
    <w:rsid w:val="00FF380C"/>
    <w:rsid w:val="00FF4018"/>
    <w:rsid w:val="00FF4498"/>
    <w:rsid w:val="00FF4FA4"/>
    <w:rsid w:val="00FF51B4"/>
    <w:rsid w:val="00FF5754"/>
    <w:rsid w:val="00FF5FB8"/>
    <w:rsid w:val="00FF68EA"/>
    <w:rsid w:val="00FF6F8A"/>
    <w:rsid w:val="00FF776E"/>
    <w:rsid w:val="00FF78BB"/>
    <w:rsid w:val="00FF7A1D"/>
    <w:rsid w:val="00FF7C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C78790"/>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D72"/>
    <w:rPr>
      <w:rFonts w:eastAsia="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link w:val="Heading1Char1"/>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link w:val="FooterChar"/>
    <w:uiPriority w:val="99"/>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link w:val="B3Char"/>
    <w:rsid w:val="00252EB7"/>
  </w:style>
  <w:style w:type="paragraph" w:customStyle="1" w:styleId="B4">
    <w:name w:val="B4"/>
    <w:basedOn w:val="List4"/>
    <w:link w:val="B4Char"/>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qFormat/>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qFormat/>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uiPriority w:val="99"/>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uiPriority w:val="3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uiPriority w:val="99"/>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90057C"/>
    <w:rPr>
      <w:rFonts w:ascii="Arial" w:hAnsi="Arial"/>
      <w:sz w:val="36"/>
      <w:lang w:val="en-GB"/>
    </w:rPr>
  </w:style>
  <w:style w:type="character" w:customStyle="1" w:styleId="3GPPNormalTextChar">
    <w:name w:val="3GPP Normal Text Char"/>
    <w:link w:val="3GPPNormalText"/>
    <w:locked/>
    <w:rsid w:val="0090057C"/>
    <w:rPr>
      <w:rFonts w:ascii="MS Mincho" w:eastAsia="MS Mincho" w:hAnsi="MS Mincho"/>
      <w:szCs w:val="24"/>
    </w:rPr>
  </w:style>
  <w:style w:type="paragraph" w:customStyle="1" w:styleId="3GPPNormalText">
    <w:name w:val="3GPP Normal Text"/>
    <w:basedOn w:val="BodyText"/>
    <w:link w:val="3GPPNormalTextChar"/>
    <w:qFormat/>
    <w:rsid w:val="0090057C"/>
    <w:pPr>
      <w:spacing w:after="60"/>
      <w:jc w:val="both"/>
    </w:pPr>
    <w:rPr>
      <w:rFonts w:ascii="MS Mincho" w:eastAsia="MS Mincho" w:hAnsi="MS Mincho"/>
    </w:rPr>
  </w:style>
  <w:style w:type="character" w:customStyle="1" w:styleId="ListParagraphChar1">
    <w:name w:val="List Paragraph Char1"/>
    <w:uiPriority w:val="34"/>
    <w:qFormat/>
    <w:locked/>
    <w:rsid w:val="00F011B5"/>
    <w:rPr>
      <w:rFonts w:ascii="Times New Roman" w:eastAsia="Times New Roman" w:hAnsi="Times New Roman" w:cs="Times New Roman"/>
      <w:sz w:val="20"/>
      <w:szCs w:val="24"/>
      <w:lang w:val="en-US"/>
    </w:rPr>
  </w:style>
  <w:style w:type="character" w:customStyle="1" w:styleId="apple-converted-space">
    <w:name w:val="apple-converted-space"/>
    <w:rsid w:val="00054430"/>
  </w:style>
  <w:style w:type="character" w:customStyle="1" w:styleId="B3Char">
    <w:name w:val="B3 Char"/>
    <w:link w:val="B3"/>
    <w:rsid w:val="005F6479"/>
    <w:rPr>
      <w:lang w:val="en-GB"/>
    </w:rPr>
  </w:style>
  <w:style w:type="character" w:customStyle="1" w:styleId="B4Char">
    <w:name w:val="B4 Char"/>
    <w:link w:val="B4"/>
    <w:rsid w:val="005F6479"/>
    <w:rPr>
      <w:lang w:val="en-GB"/>
    </w:rPr>
  </w:style>
  <w:style w:type="character" w:customStyle="1" w:styleId="B1Char">
    <w:name w:val="B1 Char"/>
    <w:rsid w:val="00167A02"/>
    <w:rPr>
      <w:rFonts w:ascii="Times New Roman" w:hAnsi="Times New Roman"/>
      <w:lang w:val="en-GB" w:eastAsia="en-US"/>
    </w:rPr>
  </w:style>
  <w:style w:type="character" w:customStyle="1" w:styleId="B2Char">
    <w:name w:val="B2 Char"/>
    <w:link w:val="B2"/>
    <w:rsid w:val="00167A02"/>
    <w:rPr>
      <w:lang w:val="en-GB"/>
    </w:rPr>
  </w:style>
  <w:style w:type="character" w:customStyle="1" w:styleId="FooterChar">
    <w:name w:val="Footer Char"/>
    <w:basedOn w:val="DefaultParagraphFont"/>
    <w:link w:val="Footer"/>
    <w:uiPriority w:val="99"/>
    <w:rsid w:val="00D80AD0"/>
    <w:rPr>
      <w:rFonts w:ascii="Arial" w:hAnsi="Arial"/>
      <w:b/>
      <w:i/>
      <w:noProof/>
      <w:sz w:val="18"/>
      <w:lang w:val="en-GB"/>
    </w:rPr>
  </w:style>
  <w:style w:type="character" w:customStyle="1" w:styleId="TAHCar">
    <w:name w:val="TAH Car"/>
    <w:link w:val="TAH"/>
    <w:qFormat/>
    <w:rsid w:val="00C0163E"/>
    <w:rPr>
      <w:rFonts w:ascii="Arial" w:hAnsi="Arial"/>
      <w:b/>
      <w:sz w:val="18"/>
      <w:lang w:val="en-GB"/>
    </w:rPr>
  </w:style>
  <w:style w:type="character" w:customStyle="1" w:styleId="TALCar">
    <w:name w:val="TAL Car"/>
    <w:qFormat/>
    <w:rsid w:val="00362926"/>
    <w:rPr>
      <w:rFonts w:ascii="Arial" w:hAnsi="Arial"/>
      <w:sz w:val="18"/>
      <w:lang w:val="en-GB" w:eastAsia="en-US"/>
    </w:rPr>
  </w:style>
  <w:style w:type="character" w:customStyle="1" w:styleId="fontstyle21">
    <w:name w:val="fontstyle21"/>
    <w:basedOn w:val="DefaultParagraphFont"/>
    <w:rsid w:val="00FB66FC"/>
    <w:rPr>
      <w:rFonts w:ascii="TimesNewRomanPS-ItalicMT" w:hAnsi="TimesNewRomanPS-ItalicMT" w:hint="default"/>
      <w:b w:val="0"/>
      <w:bCs w:val="0"/>
      <w:i/>
      <w:iCs/>
      <w:color w:val="000000"/>
      <w:sz w:val="20"/>
      <w:szCs w:val="20"/>
    </w:rPr>
  </w:style>
  <w:style w:type="character" w:customStyle="1" w:styleId="fontstyle31">
    <w:name w:val="fontstyle31"/>
    <w:basedOn w:val="DefaultParagraphFont"/>
    <w:rsid w:val="00FB66FC"/>
    <w:rPr>
      <w:rFonts w:ascii="SymbolMT" w:hAnsi="SymbolMT" w:hint="default"/>
      <w:b w:val="0"/>
      <w:bCs w:val="0"/>
      <w:i w:val="0"/>
      <w:iCs w:val="0"/>
      <w:color w:val="000000"/>
      <w:sz w:val="22"/>
      <w:szCs w:val="22"/>
    </w:rPr>
  </w:style>
  <w:style w:type="paragraph" w:customStyle="1" w:styleId="Reference">
    <w:name w:val="Reference"/>
    <w:basedOn w:val="BodyText"/>
    <w:rsid w:val="00734217"/>
    <w:pPr>
      <w:numPr>
        <w:numId w:val="19"/>
      </w:numPr>
      <w:spacing w:after="120" w:line="259" w:lineRule="auto"/>
      <w:jc w:val="both"/>
    </w:pPr>
    <w:rPr>
      <w:rFonts w:ascii="Arial" w:eastAsiaTheme="minorHAnsi" w:hAnsi="Arial" w:cstheme="minorBidi"/>
      <w:sz w:val="20"/>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4406252">
      <w:bodyDiv w:val="1"/>
      <w:marLeft w:val="0"/>
      <w:marRight w:val="0"/>
      <w:marTop w:val="0"/>
      <w:marBottom w:val="0"/>
      <w:divBdr>
        <w:top w:val="none" w:sz="0" w:space="0" w:color="auto"/>
        <w:left w:val="none" w:sz="0" w:space="0" w:color="auto"/>
        <w:bottom w:val="none" w:sz="0" w:space="0" w:color="auto"/>
        <w:right w:val="none" w:sz="0" w:space="0" w:color="auto"/>
      </w:divBdr>
    </w:div>
    <w:div w:id="68767727">
      <w:bodyDiv w:val="1"/>
      <w:marLeft w:val="0"/>
      <w:marRight w:val="0"/>
      <w:marTop w:val="0"/>
      <w:marBottom w:val="0"/>
      <w:divBdr>
        <w:top w:val="none" w:sz="0" w:space="0" w:color="auto"/>
        <w:left w:val="none" w:sz="0" w:space="0" w:color="auto"/>
        <w:bottom w:val="none" w:sz="0" w:space="0" w:color="auto"/>
        <w:right w:val="none" w:sz="0" w:space="0" w:color="auto"/>
      </w:divBdr>
    </w:div>
    <w:div w:id="84426065">
      <w:bodyDiv w:val="1"/>
      <w:marLeft w:val="0"/>
      <w:marRight w:val="0"/>
      <w:marTop w:val="0"/>
      <w:marBottom w:val="0"/>
      <w:divBdr>
        <w:top w:val="none" w:sz="0" w:space="0" w:color="auto"/>
        <w:left w:val="none" w:sz="0" w:space="0" w:color="auto"/>
        <w:bottom w:val="none" w:sz="0" w:space="0" w:color="auto"/>
        <w:right w:val="none" w:sz="0" w:space="0" w:color="auto"/>
      </w:divBdr>
    </w:div>
    <w:div w:id="107622886">
      <w:bodyDiv w:val="1"/>
      <w:marLeft w:val="0"/>
      <w:marRight w:val="0"/>
      <w:marTop w:val="0"/>
      <w:marBottom w:val="0"/>
      <w:divBdr>
        <w:top w:val="none" w:sz="0" w:space="0" w:color="auto"/>
        <w:left w:val="none" w:sz="0" w:space="0" w:color="auto"/>
        <w:bottom w:val="none" w:sz="0" w:space="0" w:color="auto"/>
        <w:right w:val="none" w:sz="0" w:space="0" w:color="auto"/>
      </w:divBdr>
    </w:div>
    <w:div w:id="119881649">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8241806">
      <w:bodyDiv w:val="1"/>
      <w:marLeft w:val="0"/>
      <w:marRight w:val="0"/>
      <w:marTop w:val="0"/>
      <w:marBottom w:val="0"/>
      <w:divBdr>
        <w:top w:val="none" w:sz="0" w:space="0" w:color="auto"/>
        <w:left w:val="none" w:sz="0" w:space="0" w:color="auto"/>
        <w:bottom w:val="none" w:sz="0" w:space="0" w:color="auto"/>
        <w:right w:val="none" w:sz="0" w:space="0" w:color="auto"/>
      </w:divBdr>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318313897">
      <w:bodyDiv w:val="1"/>
      <w:marLeft w:val="0"/>
      <w:marRight w:val="0"/>
      <w:marTop w:val="0"/>
      <w:marBottom w:val="0"/>
      <w:divBdr>
        <w:top w:val="none" w:sz="0" w:space="0" w:color="auto"/>
        <w:left w:val="none" w:sz="0" w:space="0" w:color="auto"/>
        <w:bottom w:val="none" w:sz="0" w:space="0" w:color="auto"/>
        <w:right w:val="none" w:sz="0" w:space="0" w:color="auto"/>
      </w:divBdr>
      <w:divsChild>
        <w:div w:id="819926882">
          <w:marLeft w:val="432"/>
          <w:marRight w:val="0"/>
          <w:marTop w:val="240"/>
          <w:marBottom w:val="0"/>
          <w:divBdr>
            <w:top w:val="none" w:sz="0" w:space="0" w:color="auto"/>
            <w:left w:val="none" w:sz="0" w:space="0" w:color="auto"/>
            <w:bottom w:val="none" w:sz="0" w:space="0" w:color="auto"/>
            <w:right w:val="none" w:sz="0" w:space="0" w:color="auto"/>
          </w:divBdr>
        </w:div>
      </w:divsChild>
    </w:div>
    <w:div w:id="326638468">
      <w:bodyDiv w:val="1"/>
      <w:marLeft w:val="0"/>
      <w:marRight w:val="0"/>
      <w:marTop w:val="0"/>
      <w:marBottom w:val="0"/>
      <w:divBdr>
        <w:top w:val="none" w:sz="0" w:space="0" w:color="auto"/>
        <w:left w:val="none" w:sz="0" w:space="0" w:color="auto"/>
        <w:bottom w:val="none" w:sz="0" w:space="0" w:color="auto"/>
        <w:right w:val="none" w:sz="0" w:space="0" w:color="auto"/>
      </w:divBdr>
    </w:div>
    <w:div w:id="33018694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847500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808431">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4446441">
      <w:bodyDiv w:val="1"/>
      <w:marLeft w:val="0"/>
      <w:marRight w:val="0"/>
      <w:marTop w:val="0"/>
      <w:marBottom w:val="0"/>
      <w:divBdr>
        <w:top w:val="none" w:sz="0" w:space="0" w:color="auto"/>
        <w:left w:val="none" w:sz="0" w:space="0" w:color="auto"/>
        <w:bottom w:val="none" w:sz="0" w:space="0" w:color="auto"/>
        <w:right w:val="none" w:sz="0" w:space="0" w:color="auto"/>
      </w:divBdr>
    </w:div>
    <w:div w:id="535197450">
      <w:bodyDiv w:val="1"/>
      <w:marLeft w:val="0"/>
      <w:marRight w:val="0"/>
      <w:marTop w:val="0"/>
      <w:marBottom w:val="0"/>
      <w:divBdr>
        <w:top w:val="none" w:sz="0" w:space="0" w:color="auto"/>
        <w:left w:val="none" w:sz="0" w:space="0" w:color="auto"/>
        <w:bottom w:val="none" w:sz="0" w:space="0" w:color="auto"/>
        <w:right w:val="none" w:sz="0" w:space="0" w:color="auto"/>
      </w:divBdr>
      <w:divsChild>
        <w:div w:id="862746770">
          <w:marLeft w:val="0"/>
          <w:marRight w:val="0"/>
          <w:marTop w:val="0"/>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5042699">
      <w:bodyDiv w:val="1"/>
      <w:marLeft w:val="0"/>
      <w:marRight w:val="0"/>
      <w:marTop w:val="0"/>
      <w:marBottom w:val="0"/>
      <w:divBdr>
        <w:top w:val="none" w:sz="0" w:space="0" w:color="auto"/>
        <w:left w:val="none" w:sz="0" w:space="0" w:color="auto"/>
        <w:bottom w:val="none" w:sz="0" w:space="0" w:color="auto"/>
        <w:right w:val="none" w:sz="0" w:space="0" w:color="auto"/>
      </w:divBdr>
      <w:divsChild>
        <w:div w:id="1188904858">
          <w:marLeft w:val="547"/>
          <w:marRight w:val="0"/>
          <w:marTop w:val="96"/>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3949294">
      <w:bodyDiv w:val="1"/>
      <w:marLeft w:val="0"/>
      <w:marRight w:val="0"/>
      <w:marTop w:val="0"/>
      <w:marBottom w:val="0"/>
      <w:divBdr>
        <w:top w:val="none" w:sz="0" w:space="0" w:color="auto"/>
        <w:left w:val="none" w:sz="0" w:space="0" w:color="auto"/>
        <w:bottom w:val="none" w:sz="0" w:space="0" w:color="auto"/>
        <w:right w:val="none" w:sz="0" w:space="0" w:color="auto"/>
      </w:divBdr>
    </w:div>
    <w:div w:id="659506935">
      <w:bodyDiv w:val="1"/>
      <w:marLeft w:val="0"/>
      <w:marRight w:val="0"/>
      <w:marTop w:val="0"/>
      <w:marBottom w:val="0"/>
      <w:divBdr>
        <w:top w:val="none" w:sz="0" w:space="0" w:color="auto"/>
        <w:left w:val="none" w:sz="0" w:space="0" w:color="auto"/>
        <w:bottom w:val="none" w:sz="0" w:space="0" w:color="auto"/>
        <w:right w:val="none" w:sz="0" w:space="0" w:color="auto"/>
      </w:divBdr>
    </w:div>
    <w:div w:id="660619476">
      <w:bodyDiv w:val="1"/>
      <w:marLeft w:val="0"/>
      <w:marRight w:val="0"/>
      <w:marTop w:val="0"/>
      <w:marBottom w:val="0"/>
      <w:divBdr>
        <w:top w:val="none" w:sz="0" w:space="0" w:color="auto"/>
        <w:left w:val="none" w:sz="0" w:space="0" w:color="auto"/>
        <w:bottom w:val="none" w:sz="0" w:space="0" w:color="auto"/>
        <w:right w:val="none" w:sz="0" w:space="0" w:color="auto"/>
      </w:divBdr>
    </w:div>
    <w:div w:id="698161077">
      <w:bodyDiv w:val="1"/>
      <w:marLeft w:val="0"/>
      <w:marRight w:val="0"/>
      <w:marTop w:val="0"/>
      <w:marBottom w:val="0"/>
      <w:divBdr>
        <w:top w:val="none" w:sz="0" w:space="0" w:color="auto"/>
        <w:left w:val="none" w:sz="0" w:space="0" w:color="auto"/>
        <w:bottom w:val="none" w:sz="0" w:space="0" w:color="auto"/>
        <w:right w:val="none" w:sz="0" w:space="0" w:color="auto"/>
      </w:divBdr>
    </w:div>
    <w:div w:id="704868128">
      <w:bodyDiv w:val="1"/>
      <w:marLeft w:val="0"/>
      <w:marRight w:val="0"/>
      <w:marTop w:val="0"/>
      <w:marBottom w:val="0"/>
      <w:divBdr>
        <w:top w:val="none" w:sz="0" w:space="0" w:color="auto"/>
        <w:left w:val="none" w:sz="0" w:space="0" w:color="auto"/>
        <w:bottom w:val="none" w:sz="0" w:space="0" w:color="auto"/>
        <w:right w:val="none" w:sz="0" w:space="0" w:color="auto"/>
      </w:divBdr>
    </w:div>
    <w:div w:id="730230777">
      <w:bodyDiv w:val="1"/>
      <w:marLeft w:val="0"/>
      <w:marRight w:val="0"/>
      <w:marTop w:val="0"/>
      <w:marBottom w:val="0"/>
      <w:divBdr>
        <w:top w:val="none" w:sz="0" w:space="0" w:color="auto"/>
        <w:left w:val="none" w:sz="0" w:space="0" w:color="auto"/>
        <w:bottom w:val="none" w:sz="0" w:space="0" w:color="auto"/>
        <w:right w:val="none" w:sz="0" w:space="0" w:color="auto"/>
      </w:divBdr>
    </w:div>
    <w:div w:id="752898352">
      <w:bodyDiv w:val="1"/>
      <w:marLeft w:val="0"/>
      <w:marRight w:val="0"/>
      <w:marTop w:val="0"/>
      <w:marBottom w:val="0"/>
      <w:divBdr>
        <w:top w:val="none" w:sz="0" w:space="0" w:color="auto"/>
        <w:left w:val="none" w:sz="0" w:space="0" w:color="auto"/>
        <w:bottom w:val="none" w:sz="0" w:space="0" w:color="auto"/>
        <w:right w:val="none" w:sz="0" w:space="0" w:color="auto"/>
      </w:divBdr>
      <w:divsChild>
        <w:div w:id="977223612">
          <w:marLeft w:val="0"/>
          <w:marRight w:val="0"/>
          <w:marTop w:val="0"/>
          <w:marBottom w:val="0"/>
          <w:divBdr>
            <w:top w:val="none" w:sz="0" w:space="0" w:color="auto"/>
            <w:left w:val="none" w:sz="0" w:space="0" w:color="auto"/>
            <w:bottom w:val="none" w:sz="0" w:space="0" w:color="auto"/>
            <w:right w:val="none" w:sz="0" w:space="0" w:color="auto"/>
          </w:divBdr>
        </w:div>
      </w:divsChild>
    </w:div>
    <w:div w:id="780341499">
      <w:bodyDiv w:val="1"/>
      <w:marLeft w:val="0"/>
      <w:marRight w:val="0"/>
      <w:marTop w:val="0"/>
      <w:marBottom w:val="0"/>
      <w:divBdr>
        <w:top w:val="none" w:sz="0" w:space="0" w:color="auto"/>
        <w:left w:val="none" w:sz="0" w:space="0" w:color="auto"/>
        <w:bottom w:val="none" w:sz="0" w:space="0" w:color="auto"/>
        <w:right w:val="none" w:sz="0" w:space="0" w:color="auto"/>
      </w:divBdr>
      <w:divsChild>
        <w:div w:id="1391419809">
          <w:marLeft w:val="432"/>
          <w:marRight w:val="0"/>
          <w:marTop w:val="120"/>
          <w:marBottom w:val="0"/>
          <w:divBdr>
            <w:top w:val="none" w:sz="0" w:space="0" w:color="auto"/>
            <w:left w:val="none" w:sz="0" w:space="0" w:color="auto"/>
            <w:bottom w:val="none" w:sz="0" w:space="0" w:color="auto"/>
            <w:right w:val="none" w:sz="0" w:space="0" w:color="auto"/>
          </w:divBdr>
        </w:div>
        <w:div w:id="1911959305">
          <w:marLeft w:val="432"/>
          <w:marRight w:val="0"/>
          <w:marTop w:val="120"/>
          <w:marBottom w:val="0"/>
          <w:divBdr>
            <w:top w:val="none" w:sz="0" w:space="0" w:color="auto"/>
            <w:left w:val="none" w:sz="0" w:space="0" w:color="auto"/>
            <w:bottom w:val="none" w:sz="0" w:space="0" w:color="auto"/>
            <w:right w:val="none" w:sz="0" w:space="0" w:color="auto"/>
          </w:divBdr>
        </w:div>
        <w:div w:id="1023634544">
          <w:marLeft w:val="432"/>
          <w:marRight w:val="0"/>
          <w:marTop w:val="120"/>
          <w:marBottom w:val="0"/>
          <w:divBdr>
            <w:top w:val="none" w:sz="0" w:space="0" w:color="auto"/>
            <w:left w:val="none" w:sz="0" w:space="0" w:color="auto"/>
            <w:bottom w:val="none" w:sz="0" w:space="0" w:color="auto"/>
            <w:right w:val="none" w:sz="0" w:space="0" w:color="auto"/>
          </w:divBdr>
        </w:div>
        <w:div w:id="166294312">
          <w:marLeft w:val="1267"/>
          <w:marRight w:val="0"/>
          <w:marTop w:val="120"/>
          <w:marBottom w:val="0"/>
          <w:divBdr>
            <w:top w:val="none" w:sz="0" w:space="0" w:color="auto"/>
            <w:left w:val="none" w:sz="0" w:space="0" w:color="auto"/>
            <w:bottom w:val="none" w:sz="0" w:space="0" w:color="auto"/>
            <w:right w:val="none" w:sz="0" w:space="0" w:color="auto"/>
          </w:divBdr>
        </w:div>
        <w:div w:id="1740251402">
          <w:marLeft w:val="1267"/>
          <w:marRight w:val="0"/>
          <w:marTop w:val="120"/>
          <w:marBottom w:val="0"/>
          <w:divBdr>
            <w:top w:val="none" w:sz="0" w:space="0" w:color="auto"/>
            <w:left w:val="none" w:sz="0" w:space="0" w:color="auto"/>
            <w:bottom w:val="none" w:sz="0" w:space="0" w:color="auto"/>
            <w:right w:val="none" w:sz="0" w:space="0" w:color="auto"/>
          </w:divBdr>
        </w:div>
        <w:div w:id="1743091741">
          <w:marLeft w:val="432"/>
          <w:marRight w:val="0"/>
          <w:marTop w:val="120"/>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66062579">
      <w:bodyDiv w:val="1"/>
      <w:marLeft w:val="0"/>
      <w:marRight w:val="0"/>
      <w:marTop w:val="0"/>
      <w:marBottom w:val="0"/>
      <w:divBdr>
        <w:top w:val="none" w:sz="0" w:space="0" w:color="auto"/>
        <w:left w:val="none" w:sz="0" w:space="0" w:color="auto"/>
        <w:bottom w:val="none" w:sz="0" w:space="0" w:color="auto"/>
        <w:right w:val="none" w:sz="0" w:space="0" w:color="auto"/>
      </w:divBdr>
    </w:div>
    <w:div w:id="943879879">
      <w:bodyDiv w:val="1"/>
      <w:marLeft w:val="0"/>
      <w:marRight w:val="0"/>
      <w:marTop w:val="0"/>
      <w:marBottom w:val="0"/>
      <w:divBdr>
        <w:top w:val="none" w:sz="0" w:space="0" w:color="auto"/>
        <w:left w:val="none" w:sz="0" w:space="0" w:color="auto"/>
        <w:bottom w:val="none" w:sz="0" w:space="0" w:color="auto"/>
        <w:right w:val="none" w:sz="0" w:space="0" w:color="auto"/>
      </w:divBdr>
      <w:divsChild>
        <w:div w:id="714429426">
          <w:marLeft w:val="288"/>
          <w:marRight w:val="0"/>
          <w:marTop w:val="120"/>
          <w:marBottom w:val="0"/>
          <w:divBdr>
            <w:top w:val="none" w:sz="0" w:space="0" w:color="auto"/>
            <w:left w:val="none" w:sz="0" w:space="0" w:color="auto"/>
            <w:bottom w:val="none" w:sz="0" w:space="0" w:color="auto"/>
            <w:right w:val="none" w:sz="0" w:space="0" w:color="auto"/>
          </w:divBdr>
        </w:div>
        <w:div w:id="1173689973">
          <w:marLeft w:val="288"/>
          <w:marRight w:val="0"/>
          <w:marTop w:val="120"/>
          <w:marBottom w:val="0"/>
          <w:divBdr>
            <w:top w:val="none" w:sz="0" w:space="0" w:color="auto"/>
            <w:left w:val="none" w:sz="0" w:space="0" w:color="auto"/>
            <w:bottom w:val="none" w:sz="0" w:space="0" w:color="auto"/>
            <w:right w:val="none" w:sz="0" w:space="0" w:color="auto"/>
          </w:divBdr>
        </w:div>
        <w:div w:id="1461609831">
          <w:marLeft w:val="288"/>
          <w:marRight w:val="0"/>
          <w:marTop w:val="120"/>
          <w:marBottom w:val="0"/>
          <w:divBdr>
            <w:top w:val="none" w:sz="0" w:space="0" w:color="auto"/>
            <w:left w:val="none" w:sz="0" w:space="0" w:color="auto"/>
            <w:bottom w:val="none" w:sz="0" w:space="0" w:color="auto"/>
            <w:right w:val="none" w:sz="0" w:space="0" w:color="auto"/>
          </w:divBdr>
        </w:div>
        <w:div w:id="735707915">
          <w:marLeft w:val="562"/>
          <w:marRight w:val="0"/>
          <w:marTop w:val="120"/>
          <w:marBottom w:val="0"/>
          <w:divBdr>
            <w:top w:val="none" w:sz="0" w:space="0" w:color="auto"/>
            <w:left w:val="none" w:sz="0" w:space="0" w:color="auto"/>
            <w:bottom w:val="none" w:sz="0" w:space="0" w:color="auto"/>
            <w:right w:val="none" w:sz="0" w:space="0" w:color="auto"/>
          </w:divBdr>
        </w:div>
        <w:div w:id="1772776117">
          <w:marLeft w:val="288"/>
          <w:marRight w:val="0"/>
          <w:marTop w:val="120"/>
          <w:marBottom w:val="0"/>
          <w:divBdr>
            <w:top w:val="none" w:sz="0" w:space="0" w:color="auto"/>
            <w:left w:val="none" w:sz="0" w:space="0" w:color="auto"/>
            <w:bottom w:val="none" w:sz="0" w:space="0" w:color="auto"/>
            <w:right w:val="none" w:sz="0" w:space="0" w:color="auto"/>
          </w:divBdr>
        </w:div>
        <w:div w:id="1170288027">
          <w:marLeft w:val="562"/>
          <w:marRight w:val="0"/>
          <w:marTop w:val="120"/>
          <w:marBottom w:val="0"/>
          <w:divBdr>
            <w:top w:val="none" w:sz="0" w:space="0" w:color="auto"/>
            <w:left w:val="none" w:sz="0" w:space="0" w:color="auto"/>
            <w:bottom w:val="none" w:sz="0" w:space="0" w:color="auto"/>
            <w:right w:val="none" w:sz="0" w:space="0" w:color="auto"/>
          </w:divBdr>
        </w:div>
        <w:div w:id="2137478963">
          <w:marLeft w:val="562"/>
          <w:marRight w:val="0"/>
          <w:marTop w:val="120"/>
          <w:marBottom w:val="0"/>
          <w:divBdr>
            <w:top w:val="none" w:sz="0" w:space="0" w:color="auto"/>
            <w:left w:val="none" w:sz="0" w:space="0" w:color="auto"/>
            <w:bottom w:val="none" w:sz="0" w:space="0" w:color="auto"/>
            <w:right w:val="none" w:sz="0" w:space="0" w:color="auto"/>
          </w:divBdr>
        </w:div>
        <w:div w:id="2065521672">
          <w:marLeft w:val="562"/>
          <w:marRight w:val="0"/>
          <w:marTop w:val="120"/>
          <w:marBottom w:val="0"/>
          <w:divBdr>
            <w:top w:val="none" w:sz="0" w:space="0" w:color="auto"/>
            <w:left w:val="none" w:sz="0" w:space="0" w:color="auto"/>
            <w:bottom w:val="none" w:sz="0" w:space="0" w:color="auto"/>
            <w:right w:val="none" w:sz="0" w:space="0" w:color="auto"/>
          </w:divBdr>
        </w:div>
      </w:divsChild>
    </w:div>
    <w:div w:id="977564448">
      <w:bodyDiv w:val="1"/>
      <w:marLeft w:val="0"/>
      <w:marRight w:val="0"/>
      <w:marTop w:val="0"/>
      <w:marBottom w:val="0"/>
      <w:divBdr>
        <w:top w:val="none" w:sz="0" w:space="0" w:color="auto"/>
        <w:left w:val="none" w:sz="0" w:space="0" w:color="auto"/>
        <w:bottom w:val="none" w:sz="0" w:space="0" w:color="auto"/>
        <w:right w:val="none" w:sz="0" w:space="0" w:color="auto"/>
      </w:divBdr>
    </w:div>
    <w:div w:id="989359929">
      <w:bodyDiv w:val="1"/>
      <w:marLeft w:val="0"/>
      <w:marRight w:val="0"/>
      <w:marTop w:val="0"/>
      <w:marBottom w:val="0"/>
      <w:divBdr>
        <w:top w:val="none" w:sz="0" w:space="0" w:color="auto"/>
        <w:left w:val="none" w:sz="0" w:space="0" w:color="auto"/>
        <w:bottom w:val="none" w:sz="0" w:space="0" w:color="auto"/>
        <w:right w:val="none" w:sz="0" w:space="0" w:color="auto"/>
      </w:divBdr>
    </w:div>
    <w:div w:id="99368323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9912720">
      <w:bodyDiv w:val="1"/>
      <w:marLeft w:val="0"/>
      <w:marRight w:val="0"/>
      <w:marTop w:val="0"/>
      <w:marBottom w:val="0"/>
      <w:divBdr>
        <w:top w:val="none" w:sz="0" w:space="0" w:color="auto"/>
        <w:left w:val="none" w:sz="0" w:space="0" w:color="auto"/>
        <w:bottom w:val="none" w:sz="0" w:space="0" w:color="auto"/>
        <w:right w:val="none" w:sz="0" w:space="0" w:color="auto"/>
      </w:divBdr>
      <w:divsChild>
        <w:div w:id="607200614">
          <w:marLeft w:val="547"/>
          <w:marRight w:val="0"/>
          <w:marTop w:val="154"/>
          <w:marBottom w:val="0"/>
          <w:divBdr>
            <w:top w:val="none" w:sz="0" w:space="0" w:color="auto"/>
            <w:left w:val="none" w:sz="0" w:space="0" w:color="auto"/>
            <w:bottom w:val="none" w:sz="0" w:space="0" w:color="auto"/>
            <w:right w:val="none" w:sz="0" w:space="0" w:color="auto"/>
          </w:divBdr>
        </w:div>
      </w:divsChild>
    </w:div>
    <w:div w:id="1071998994">
      <w:bodyDiv w:val="1"/>
      <w:marLeft w:val="0"/>
      <w:marRight w:val="0"/>
      <w:marTop w:val="0"/>
      <w:marBottom w:val="0"/>
      <w:divBdr>
        <w:top w:val="none" w:sz="0" w:space="0" w:color="auto"/>
        <w:left w:val="none" w:sz="0" w:space="0" w:color="auto"/>
        <w:bottom w:val="none" w:sz="0" w:space="0" w:color="auto"/>
        <w:right w:val="none" w:sz="0" w:space="0" w:color="auto"/>
      </w:divBdr>
      <w:divsChild>
        <w:div w:id="1841383531">
          <w:marLeft w:val="0"/>
          <w:marRight w:val="0"/>
          <w:marTop w:val="0"/>
          <w:marBottom w:val="0"/>
          <w:divBdr>
            <w:top w:val="none" w:sz="0" w:space="0" w:color="auto"/>
            <w:left w:val="none" w:sz="0" w:space="0" w:color="auto"/>
            <w:bottom w:val="none" w:sz="0" w:space="0" w:color="auto"/>
            <w:right w:val="none" w:sz="0" w:space="0" w:color="auto"/>
          </w:divBdr>
        </w:div>
      </w:divsChild>
    </w:div>
    <w:div w:id="1077094970">
      <w:bodyDiv w:val="1"/>
      <w:marLeft w:val="0"/>
      <w:marRight w:val="0"/>
      <w:marTop w:val="0"/>
      <w:marBottom w:val="0"/>
      <w:divBdr>
        <w:top w:val="none" w:sz="0" w:space="0" w:color="auto"/>
        <w:left w:val="none" w:sz="0" w:space="0" w:color="auto"/>
        <w:bottom w:val="none" w:sz="0" w:space="0" w:color="auto"/>
        <w:right w:val="none" w:sz="0" w:space="0" w:color="auto"/>
      </w:divBdr>
      <w:divsChild>
        <w:div w:id="2128893275">
          <w:marLeft w:val="432"/>
          <w:marRight w:val="0"/>
          <w:marTop w:val="240"/>
          <w:marBottom w:val="0"/>
          <w:divBdr>
            <w:top w:val="none" w:sz="0" w:space="0" w:color="auto"/>
            <w:left w:val="none" w:sz="0" w:space="0" w:color="auto"/>
            <w:bottom w:val="none" w:sz="0" w:space="0" w:color="auto"/>
            <w:right w:val="none" w:sz="0" w:space="0" w:color="auto"/>
          </w:divBdr>
        </w:div>
        <w:div w:id="1792505936">
          <w:marLeft w:val="1267"/>
          <w:marRight w:val="0"/>
          <w:marTop w:val="180"/>
          <w:marBottom w:val="0"/>
          <w:divBdr>
            <w:top w:val="none" w:sz="0" w:space="0" w:color="auto"/>
            <w:left w:val="none" w:sz="0" w:space="0" w:color="auto"/>
            <w:bottom w:val="none" w:sz="0" w:space="0" w:color="auto"/>
            <w:right w:val="none" w:sz="0" w:space="0" w:color="auto"/>
          </w:divBdr>
        </w:div>
        <w:div w:id="431172193">
          <w:marLeft w:val="432"/>
          <w:marRight w:val="0"/>
          <w:marTop w:val="240"/>
          <w:marBottom w:val="0"/>
          <w:divBdr>
            <w:top w:val="none" w:sz="0" w:space="0" w:color="auto"/>
            <w:left w:val="none" w:sz="0" w:space="0" w:color="auto"/>
            <w:bottom w:val="none" w:sz="0" w:space="0" w:color="auto"/>
            <w:right w:val="none" w:sz="0" w:space="0" w:color="auto"/>
          </w:divBdr>
        </w:div>
        <w:div w:id="1687751834">
          <w:marLeft w:val="1267"/>
          <w:marRight w:val="0"/>
          <w:marTop w:val="180"/>
          <w:marBottom w:val="0"/>
          <w:divBdr>
            <w:top w:val="none" w:sz="0" w:space="0" w:color="auto"/>
            <w:left w:val="none" w:sz="0" w:space="0" w:color="auto"/>
            <w:bottom w:val="none" w:sz="0" w:space="0" w:color="auto"/>
            <w:right w:val="none" w:sz="0" w:space="0" w:color="auto"/>
          </w:divBdr>
        </w:div>
        <w:div w:id="1542862993">
          <w:marLeft w:val="1267"/>
          <w:marRight w:val="0"/>
          <w:marTop w:val="0"/>
          <w:marBottom w:val="0"/>
          <w:divBdr>
            <w:top w:val="none" w:sz="0" w:space="0" w:color="auto"/>
            <w:left w:val="none" w:sz="0" w:space="0" w:color="auto"/>
            <w:bottom w:val="none" w:sz="0" w:space="0" w:color="auto"/>
            <w:right w:val="none" w:sz="0" w:space="0" w:color="auto"/>
          </w:divBdr>
        </w:div>
        <w:div w:id="2025207783">
          <w:marLeft w:val="432"/>
          <w:marRight w:val="0"/>
          <w:marTop w:val="240"/>
          <w:marBottom w:val="0"/>
          <w:divBdr>
            <w:top w:val="none" w:sz="0" w:space="0" w:color="auto"/>
            <w:left w:val="none" w:sz="0" w:space="0" w:color="auto"/>
            <w:bottom w:val="none" w:sz="0" w:space="0" w:color="auto"/>
            <w:right w:val="none" w:sz="0" w:space="0" w:color="auto"/>
          </w:divBdr>
        </w:div>
        <w:div w:id="1710497752">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5273694">
      <w:bodyDiv w:val="1"/>
      <w:marLeft w:val="0"/>
      <w:marRight w:val="0"/>
      <w:marTop w:val="0"/>
      <w:marBottom w:val="0"/>
      <w:divBdr>
        <w:top w:val="none" w:sz="0" w:space="0" w:color="auto"/>
        <w:left w:val="none" w:sz="0" w:space="0" w:color="auto"/>
        <w:bottom w:val="none" w:sz="0" w:space="0" w:color="auto"/>
        <w:right w:val="none" w:sz="0" w:space="0" w:color="auto"/>
      </w:divBdr>
      <w:divsChild>
        <w:div w:id="1322923807">
          <w:marLeft w:val="562"/>
          <w:marRight w:val="0"/>
          <w:marTop w:val="0"/>
          <w:marBottom w:val="0"/>
          <w:divBdr>
            <w:top w:val="none" w:sz="0" w:space="0" w:color="auto"/>
            <w:left w:val="none" w:sz="0" w:space="0" w:color="auto"/>
            <w:bottom w:val="none" w:sz="0" w:space="0" w:color="auto"/>
            <w:right w:val="none" w:sz="0" w:space="0" w:color="auto"/>
          </w:divBdr>
        </w:div>
      </w:divsChild>
    </w:div>
    <w:div w:id="1109006409">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81436292">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23660475">
      <w:bodyDiv w:val="1"/>
      <w:marLeft w:val="0"/>
      <w:marRight w:val="0"/>
      <w:marTop w:val="0"/>
      <w:marBottom w:val="0"/>
      <w:divBdr>
        <w:top w:val="none" w:sz="0" w:space="0" w:color="auto"/>
        <w:left w:val="none" w:sz="0" w:space="0" w:color="auto"/>
        <w:bottom w:val="none" w:sz="0" w:space="0" w:color="auto"/>
        <w:right w:val="none" w:sz="0" w:space="0" w:color="auto"/>
      </w:divBdr>
    </w:div>
    <w:div w:id="135130185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77855640">
      <w:bodyDiv w:val="1"/>
      <w:marLeft w:val="0"/>
      <w:marRight w:val="0"/>
      <w:marTop w:val="0"/>
      <w:marBottom w:val="0"/>
      <w:divBdr>
        <w:top w:val="none" w:sz="0" w:space="0" w:color="auto"/>
        <w:left w:val="none" w:sz="0" w:space="0" w:color="auto"/>
        <w:bottom w:val="none" w:sz="0" w:space="0" w:color="auto"/>
        <w:right w:val="none" w:sz="0" w:space="0" w:color="auto"/>
      </w:divBdr>
    </w:div>
    <w:div w:id="1389764723">
      <w:bodyDiv w:val="1"/>
      <w:marLeft w:val="0"/>
      <w:marRight w:val="0"/>
      <w:marTop w:val="0"/>
      <w:marBottom w:val="0"/>
      <w:divBdr>
        <w:top w:val="none" w:sz="0" w:space="0" w:color="auto"/>
        <w:left w:val="none" w:sz="0" w:space="0" w:color="auto"/>
        <w:bottom w:val="none" w:sz="0" w:space="0" w:color="auto"/>
        <w:right w:val="none" w:sz="0" w:space="0" w:color="auto"/>
      </w:divBdr>
    </w:div>
    <w:div w:id="1420055797">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36369140">
      <w:bodyDiv w:val="1"/>
      <w:marLeft w:val="0"/>
      <w:marRight w:val="0"/>
      <w:marTop w:val="0"/>
      <w:marBottom w:val="0"/>
      <w:divBdr>
        <w:top w:val="none" w:sz="0" w:space="0" w:color="auto"/>
        <w:left w:val="none" w:sz="0" w:space="0" w:color="auto"/>
        <w:bottom w:val="none" w:sz="0" w:space="0" w:color="auto"/>
        <w:right w:val="none" w:sz="0" w:space="0" w:color="auto"/>
      </w:divBdr>
    </w:div>
    <w:div w:id="1440877789">
      <w:bodyDiv w:val="1"/>
      <w:marLeft w:val="0"/>
      <w:marRight w:val="0"/>
      <w:marTop w:val="0"/>
      <w:marBottom w:val="0"/>
      <w:divBdr>
        <w:top w:val="none" w:sz="0" w:space="0" w:color="auto"/>
        <w:left w:val="none" w:sz="0" w:space="0" w:color="auto"/>
        <w:bottom w:val="none" w:sz="0" w:space="0" w:color="auto"/>
        <w:right w:val="none" w:sz="0" w:space="0" w:color="auto"/>
      </w:divBdr>
    </w:div>
    <w:div w:id="1487629843">
      <w:bodyDiv w:val="1"/>
      <w:marLeft w:val="0"/>
      <w:marRight w:val="0"/>
      <w:marTop w:val="0"/>
      <w:marBottom w:val="0"/>
      <w:divBdr>
        <w:top w:val="none" w:sz="0" w:space="0" w:color="auto"/>
        <w:left w:val="none" w:sz="0" w:space="0" w:color="auto"/>
        <w:bottom w:val="none" w:sz="0" w:space="0" w:color="auto"/>
        <w:right w:val="none" w:sz="0" w:space="0" w:color="auto"/>
      </w:divBdr>
    </w:div>
    <w:div w:id="1528526571">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03494814">
      <w:bodyDiv w:val="1"/>
      <w:marLeft w:val="0"/>
      <w:marRight w:val="0"/>
      <w:marTop w:val="0"/>
      <w:marBottom w:val="0"/>
      <w:divBdr>
        <w:top w:val="none" w:sz="0" w:space="0" w:color="auto"/>
        <w:left w:val="none" w:sz="0" w:space="0" w:color="auto"/>
        <w:bottom w:val="none" w:sz="0" w:space="0" w:color="auto"/>
        <w:right w:val="none" w:sz="0" w:space="0" w:color="auto"/>
      </w:divBdr>
    </w:div>
    <w:div w:id="1616713636">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81465197">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3209438">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78479707">
      <w:bodyDiv w:val="1"/>
      <w:marLeft w:val="0"/>
      <w:marRight w:val="0"/>
      <w:marTop w:val="0"/>
      <w:marBottom w:val="0"/>
      <w:divBdr>
        <w:top w:val="none" w:sz="0" w:space="0" w:color="auto"/>
        <w:left w:val="none" w:sz="0" w:space="0" w:color="auto"/>
        <w:bottom w:val="none" w:sz="0" w:space="0" w:color="auto"/>
        <w:right w:val="none" w:sz="0" w:space="0" w:color="auto"/>
      </w:divBdr>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12474866">
      <w:bodyDiv w:val="1"/>
      <w:marLeft w:val="0"/>
      <w:marRight w:val="0"/>
      <w:marTop w:val="0"/>
      <w:marBottom w:val="0"/>
      <w:divBdr>
        <w:top w:val="none" w:sz="0" w:space="0" w:color="auto"/>
        <w:left w:val="none" w:sz="0" w:space="0" w:color="auto"/>
        <w:bottom w:val="none" w:sz="0" w:space="0" w:color="auto"/>
        <w:right w:val="none" w:sz="0" w:space="0" w:color="auto"/>
      </w:divBdr>
    </w:div>
    <w:div w:id="1857231487">
      <w:bodyDiv w:val="1"/>
      <w:marLeft w:val="0"/>
      <w:marRight w:val="0"/>
      <w:marTop w:val="0"/>
      <w:marBottom w:val="0"/>
      <w:divBdr>
        <w:top w:val="none" w:sz="0" w:space="0" w:color="auto"/>
        <w:left w:val="none" w:sz="0" w:space="0" w:color="auto"/>
        <w:bottom w:val="none" w:sz="0" w:space="0" w:color="auto"/>
        <w:right w:val="none" w:sz="0" w:space="0" w:color="auto"/>
      </w:divBdr>
    </w:div>
    <w:div w:id="1860508879">
      <w:bodyDiv w:val="1"/>
      <w:marLeft w:val="0"/>
      <w:marRight w:val="0"/>
      <w:marTop w:val="0"/>
      <w:marBottom w:val="0"/>
      <w:divBdr>
        <w:top w:val="none" w:sz="0" w:space="0" w:color="auto"/>
        <w:left w:val="none" w:sz="0" w:space="0" w:color="auto"/>
        <w:bottom w:val="none" w:sz="0" w:space="0" w:color="auto"/>
        <w:right w:val="none" w:sz="0" w:space="0" w:color="auto"/>
      </w:divBdr>
    </w:div>
    <w:div w:id="1869370356">
      <w:bodyDiv w:val="1"/>
      <w:marLeft w:val="0"/>
      <w:marRight w:val="0"/>
      <w:marTop w:val="0"/>
      <w:marBottom w:val="0"/>
      <w:divBdr>
        <w:top w:val="none" w:sz="0" w:space="0" w:color="auto"/>
        <w:left w:val="none" w:sz="0" w:space="0" w:color="auto"/>
        <w:bottom w:val="none" w:sz="0" w:space="0" w:color="auto"/>
        <w:right w:val="none" w:sz="0" w:space="0" w:color="auto"/>
      </w:divBdr>
      <w:divsChild>
        <w:div w:id="1198083743">
          <w:marLeft w:val="432"/>
          <w:marRight w:val="0"/>
          <w:marTop w:val="240"/>
          <w:marBottom w:val="0"/>
          <w:divBdr>
            <w:top w:val="none" w:sz="0" w:space="0" w:color="auto"/>
            <w:left w:val="none" w:sz="0" w:space="0" w:color="auto"/>
            <w:bottom w:val="none" w:sz="0" w:space="0" w:color="auto"/>
            <w:right w:val="none" w:sz="0" w:space="0" w:color="auto"/>
          </w:divBdr>
        </w:div>
        <w:div w:id="487214977">
          <w:marLeft w:val="1267"/>
          <w:marRight w:val="0"/>
          <w:marTop w:val="180"/>
          <w:marBottom w:val="0"/>
          <w:divBdr>
            <w:top w:val="none" w:sz="0" w:space="0" w:color="auto"/>
            <w:left w:val="none" w:sz="0" w:space="0" w:color="auto"/>
            <w:bottom w:val="none" w:sz="0" w:space="0" w:color="auto"/>
            <w:right w:val="none" w:sz="0" w:space="0" w:color="auto"/>
          </w:divBdr>
        </w:div>
        <w:div w:id="305554899">
          <w:marLeft w:val="1267"/>
          <w:marRight w:val="0"/>
          <w:marTop w:val="180"/>
          <w:marBottom w:val="0"/>
          <w:divBdr>
            <w:top w:val="none" w:sz="0" w:space="0" w:color="auto"/>
            <w:left w:val="none" w:sz="0" w:space="0" w:color="auto"/>
            <w:bottom w:val="none" w:sz="0" w:space="0" w:color="auto"/>
            <w:right w:val="none" w:sz="0" w:space="0" w:color="auto"/>
          </w:divBdr>
        </w:div>
        <w:div w:id="620308995">
          <w:marLeft w:val="432"/>
          <w:marRight w:val="0"/>
          <w:marTop w:val="240"/>
          <w:marBottom w:val="0"/>
          <w:divBdr>
            <w:top w:val="none" w:sz="0" w:space="0" w:color="auto"/>
            <w:left w:val="none" w:sz="0" w:space="0" w:color="auto"/>
            <w:bottom w:val="none" w:sz="0" w:space="0" w:color="auto"/>
            <w:right w:val="none" w:sz="0" w:space="0" w:color="auto"/>
          </w:divBdr>
        </w:div>
        <w:div w:id="1794783829">
          <w:marLeft w:val="1267"/>
          <w:marRight w:val="0"/>
          <w:marTop w:val="180"/>
          <w:marBottom w:val="0"/>
          <w:divBdr>
            <w:top w:val="none" w:sz="0" w:space="0" w:color="auto"/>
            <w:left w:val="none" w:sz="0" w:space="0" w:color="auto"/>
            <w:bottom w:val="none" w:sz="0" w:space="0" w:color="auto"/>
            <w:right w:val="none" w:sz="0" w:space="0" w:color="auto"/>
          </w:divBdr>
        </w:div>
        <w:div w:id="848060089">
          <w:marLeft w:val="1699"/>
          <w:marRight w:val="0"/>
          <w:marTop w:val="120"/>
          <w:marBottom w:val="0"/>
          <w:divBdr>
            <w:top w:val="none" w:sz="0" w:space="0" w:color="auto"/>
            <w:left w:val="none" w:sz="0" w:space="0" w:color="auto"/>
            <w:bottom w:val="none" w:sz="0" w:space="0" w:color="auto"/>
            <w:right w:val="none" w:sz="0" w:space="0" w:color="auto"/>
          </w:divBdr>
        </w:div>
        <w:div w:id="839586878">
          <w:marLeft w:val="432"/>
          <w:marRight w:val="0"/>
          <w:marTop w:val="240"/>
          <w:marBottom w:val="0"/>
          <w:divBdr>
            <w:top w:val="none" w:sz="0" w:space="0" w:color="auto"/>
            <w:left w:val="none" w:sz="0" w:space="0" w:color="auto"/>
            <w:bottom w:val="none" w:sz="0" w:space="0" w:color="auto"/>
            <w:right w:val="none" w:sz="0" w:space="0" w:color="auto"/>
          </w:divBdr>
        </w:div>
        <w:div w:id="1219590669">
          <w:marLeft w:val="1267"/>
          <w:marRight w:val="0"/>
          <w:marTop w:val="180"/>
          <w:marBottom w:val="0"/>
          <w:divBdr>
            <w:top w:val="none" w:sz="0" w:space="0" w:color="auto"/>
            <w:left w:val="none" w:sz="0" w:space="0" w:color="auto"/>
            <w:bottom w:val="none" w:sz="0" w:space="0" w:color="auto"/>
            <w:right w:val="none" w:sz="0" w:space="0" w:color="auto"/>
          </w:divBdr>
        </w:div>
      </w:divsChild>
    </w:div>
    <w:div w:id="1874029062">
      <w:bodyDiv w:val="1"/>
      <w:marLeft w:val="0"/>
      <w:marRight w:val="0"/>
      <w:marTop w:val="0"/>
      <w:marBottom w:val="0"/>
      <w:divBdr>
        <w:top w:val="none" w:sz="0" w:space="0" w:color="auto"/>
        <w:left w:val="none" w:sz="0" w:space="0" w:color="auto"/>
        <w:bottom w:val="none" w:sz="0" w:space="0" w:color="auto"/>
        <w:right w:val="none" w:sz="0" w:space="0" w:color="auto"/>
      </w:divBdr>
    </w:div>
    <w:div w:id="1875733445">
      <w:bodyDiv w:val="1"/>
      <w:marLeft w:val="0"/>
      <w:marRight w:val="0"/>
      <w:marTop w:val="0"/>
      <w:marBottom w:val="0"/>
      <w:divBdr>
        <w:top w:val="none" w:sz="0" w:space="0" w:color="auto"/>
        <w:left w:val="none" w:sz="0" w:space="0" w:color="auto"/>
        <w:bottom w:val="none" w:sz="0" w:space="0" w:color="auto"/>
        <w:right w:val="none" w:sz="0" w:space="0" w:color="auto"/>
      </w:divBdr>
    </w:div>
    <w:div w:id="1876310944">
      <w:bodyDiv w:val="1"/>
      <w:marLeft w:val="0"/>
      <w:marRight w:val="0"/>
      <w:marTop w:val="0"/>
      <w:marBottom w:val="0"/>
      <w:divBdr>
        <w:top w:val="none" w:sz="0" w:space="0" w:color="auto"/>
        <w:left w:val="none" w:sz="0" w:space="0" w:color="auto"/>
        <w:bottom w:val="none" w:sz="0" w:space="0" w:color="auto"/>
        <w:right w:val="none" w:sz="0" w:space="0" w:color="auto"/>
      </w:divBdr>
    </w:div>
    <w:div w:id="1919553969">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66540546">
      <w:bodyDiv w:val="1"/>
      <w:marLeft w:val="0"/>
      <w:marRight w:val="0"/>
      <w:marTop w:val="0"/>
      <w:marBottom w:val="0"/>
      <w:divBdr>
        <w:top w:val="none" w:sz="0" w:space="0" w:color="auto"/>
        <w:left w:val="none" w:sz="0" w:space="0" w:color="auto"/>
        <w:bottom w:val="none" w:sz="0" w:space="0" w:color="auto"/>
        <w:right w:val="none" w:sz="0" w:space="0" w:color="auto"/>
      </w:divBdr>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80301634">
      <w:bodyDiv w:val="1"/>
      <w:marLeft w:val="0"/>
      <w:marRight w:val="0"/>
      <w:marTop w:val="0"/>
      <w:marBottom w:val="0"/>
      <w:divBdr>
        <w:top w:val="none" w:sz="0" w:space="0" w:color="auto"/>
        <w:left w:val="none" w:sz="0" w:space="0" w:color="auto"/>
        <w:bottom w:val="none" w:sz="0" w:space="0" w:color="auto"/>
        <w:right w:val="none" w:sz="0" w:space="0" w:color="auto"/>
      </w:divBdr>
      <w:divsChild>
        <w:div w:id="263074428">
          <w:marLeft w:val="288"/>
          <w:marRight w:val="0"/>
          <w:marTop w:val="240"/>
          <w:marBottom w:val="0"/>
          <w:divBdr>
            <w:top w:val="none" w:sz="0" w:space="0" w:color="auto"/>
            <w:left w:val="none" w:sz="0" w:space="0" w:color="auto"/>
            <w:bottom w:val="none" w:sz="0" w:space="0" w:color="auto"/>
            <w:right w:val="none" w:sz="0" w:space="0" w:color="auto"/>
          </w:divBdr>
        </w:div>
        <w:div w:id="1008754741">
          <w:marLeft w:val="562"/>
          <w:marRight w:val="0"/>
          <w:marTop w:val="0"/>
          <w:marBottom w:val="0"/>
          <w:divBdr>
            <w:top w:val="none" w:sz="0" w:space="0" w:color="auto"/>
            <w:left w:val="none" w:sz="0" w:space="0" w:color="auto"/>
            <w:bottom w:val="none" w:sz="0" w:space="0" w:color="auto"/>
            <w:right w:val="none" w:sz="0" w:space="0" w:color="auto"/>
          </w:divBdr>
        </w:div>
      </w:divsChild>
    </w:div>
    <w:div w:id="19840452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088113">
      <w:bodyDiv w:val="1"/>
      <w:marLeft w:val="0"/>
      <w:marRight w:val="0"/>
      <w:marTop w:val="0"/>
      <w:marBottom w:val="0"/>
      <w:divBdr>
        <w:top w:val="none" w:sz="0" w:space="0" w:color="auto"/>
        <w:left w:val="none" w:sz="0" w:space="0" w:color="auto"/>
        <w:bottom w:val="none" w:sz="0" w:space="0" w:color="auto"/>
        <w:right w:val="none" w:sz="0" w:space="0" w:color="auto"/>
      </w:divBdr>
      <w:divsChild>
        <w:div w:id="869219458">
          <w:marLeft w:val="547"/>
          <w:marRight w:val="0"/>
          <w:marTop w:val="96"/>
          <w:marBottom w:val="0"/>
          <w:divBdr>
            <w:top w:val="none" w:sz="0" w:space="0" w:color="auto"/>
            <w:left w:val="none" w:sz="0" w:space="0" w:color="auto"/>
            <w:bottom w:val="none" w:sz="0" w:space="0" w:color="auto"/>
            <w:right w:val="none" w:sz="0" w:space="0" w:color="auto"/>
          </w:divBdr>
        </w:div>
        <w:div w:id="506402850">
          <w:marLeft w:val="1166"/>
          <w:marRight w:val="0"/>
          <w:marTop w:val="91"/>
          <w:marBottom w:val="0"/>
          <w:divBdr>
            <w:top w:val="none" w:sz="0" w:space="0" w:color="auto"/>
            <w:left w:val="none" w:sz="0" w:space="0" w:color="auto"/>
            <w:bottom w:val="none" w:sz="0" w:space="0" w:color="auto"/>
            <w:right w:val="none" w:sz="0" w:space="0" w:color="auto"/>
          </w:divBdr>
        </w:div>
        <w:div w:id="454296636">
          <w:marLeft w:val="1166"/>
          <w:marRight w:val="0"/>
          <w:marTop w:val="91"/>
          <w:marBottom w:val="0"/>
          <w:divBdr>
            <w:top w:val="none" w:sz="0" w:space="0" w:color="auto"/>
            <w:left w:val="none" w:sz="0" w:space="0" w:color="auto"/>
            <w:bottom w:val="none" w:sz="0" w:space="0" w:color="auto"/>
            <w:right w:val="none" w:sz="0" w:space="0" w:color="auto"/>
          </w:divBdr>
        </w:div>
      </w:divsChild>
    </w:div>
    <w:div w:id="2073847565">
      <w:bodyDiv w:val="1"/>
      <w:marLeft w:val="0"/>
      <w:marRight w:val="0"/>
      <w:marTop w:val="0"/>
      <w:marBottom w:val="0"/>
      <w:divBdr>
        <w:top w:val="none" w:sz="0" w:space="0" w:color="auto"/>
        <w:left w:val="none" w:sz="0" w:space="0" w:color="auto"/>
        <w:bottom w:val="none" w:sz="0" w:space="0" w:color="auto"/>
        <w:right w:val="none" w:sz="0" w:space="0" w:color="auto"/>
      </w:divBdr>
    </w:div>
    <w:div w:id="2080902096">
      <w:bodyDiv w:val="1"/>
      <w:marLeft w:val="0"/>
      <w:marRight w:val="0"/>
      <w:marTop w:val="0"/>
      <w:marBottom w:val="0"/>
      <w:divBdr>
        <w:top w:val="none" w:sz="0" w:space="0" w:color="auto"/>
        <w:left w:val="none" w:sz="0" w:space="0" w:color="auto"/>
        <w:bottom w:val="none" w:sz="0" w:space="0" w:color="auto"/>
        <w:right w:val="none" w:sz="0" w:space="0" w:color="auto"/>
      </w:divBdr>
      <w:divsChild>
        <w:div w:id="1724795617">
          <w:marLeft w:val="288"/>
          <w:marRight w:val="0"/>
          <w:marTop w:val="240"/>
          <w:marBottom w:val="0"/>
          <w:divBdr>
            <w:top w:val="none" w:sz="0" w:space="0" w:color="auto"/>
            <w:left w:val="none" w:sz="0" w:space="0" w:color="auto"/>
            <w:bottom w:val="none" w:sz="0" w:space="0" w:color="auto"/>
            <w:right w:val="none" w:sz="0" w:space="0" w:color="auto"/>
          </w:divBdr>
        </w:div>
        <w:div w:id="179705039">
          <w:marLeft w:val="288"/>
          <w:marRight w:val="0"/>
          <w:marTop w:val="120"/>
          <w:marBottom w:val="0"/>
          <w:divBdr>
            <w:top w:val="none" w:sz="0" w:space="0" w:color="auto"/>
            <w:left w:val="none" w:sz="0" w:space="0" w:color="auto"/>
            <w:bottom w:val="none" w:sz="0" w:space="0" w:color="auto"/>
            <w:right w:val="none" w:sz="0" w:space="0" w:color="auto"/>
          </w:divBdr>
        </w:div>
        <w:div w:id="1846168094">
          <w:marLeft w:val="562"/>
          <w:marRight w:val="0"/>
          <w:marTop w:val="120"/>
          <w:marBottom w:val="0"/>
          <w:divBdr>
            <w:top w:val="none" w:sz="0" w:space="0" w:color="auto"/>
            <w:left w:val="none" w:sz="0" w:space="0" w:color="auto"/>
            <w:bottom w:val="none" w:sz="0" w:space="0" w:color="auto"/>
            <w:right w:val="none" w:sz="0" w:space="0" w:color="auto"/>
          </w:divBdr>
        </w:div>
      </w:divsChild>
    </w:div>
    <w:div w:id="2094159832">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1723839">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5.xml><?xml version="1.0" encoding="utf-8"?>
<ds:datastoreItem xmlns:ds="http://schemas.openxmlformats.org/officeDocument/2006/customXml" ds:itemID="{CA401D8D-1092-4265-ACC7-219F53C38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1854</Words>
  <Characters>10568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12398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Mohammed.Al-Imari@mediatek.com</dc:creator>
  <cp:keywords>&lt;keyword[, keyword]&gt;</cp:keywords>
  <cp:lastModifiedBy>Jozsef Nemeth</cp:lastModifiedBy>
  <cp:revision>2</cp:revision>
  <cp:lastPrinted>2019-10-07T16:08:00Z</cp:lastPrinted>
  <dcterms:created xsi:type="dcterms:W3CDTF">2021-10-01T12:58:00Z</dcterms:created>
  <dcterms:modified xsi:type="dcterms:W3CDTF">2021-10-01T12:58:00Z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